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040E" w:rsidRPr="00A639CA" w:rsidRDefault="00BE040E" w:rsidP="00BE040E">
      <w:pPr>
        <w:ind w:right="37"/>
        <w:jc w:val="right"/>
        <w:rPr>
          <w:rFonts w:ascii="Arial" w:hAnsi="Arial" w:cs="Arial"/>
          <w:b/>
          <w:bCs/>
          <w:iCs/>
        </w:rPr>
      </w:pPr>
      <w:bookmarkStart w:id="0" w:name="_GoBack"/>
      <w:bookmarkEnd w:id="0"/>
    </w:p>
    <w:p w:rsidR="00EC2278" w:rsidRPr="00A639CA" w:rsidRDefault="00EC2278" w:rsidP="00EC2278">
      <w:pPr>
        <w:ind w:right="37"/>
        <w:jc w:val="center"/>
        <w:rPr>
          <w:rFonts w:ascii="Arial" w:hAnsi="Arial" w:cs="Arial"/>
          <w:b/>
          <w:bCs/>
          <w:iCs/>
        </w:rPr>
      </w:pPr>
      <w:r w:rsidRPr="00A639CA">
        <w:rPr>
          <w:rFonts w:ascii="Arial" w:hAnsi="Arial" w:cs="Arial"/>
          <w:b/>
          <w:bCs/>
          <w:iCs/>
        </w:rPr>
        <w:t xml:space="preserve">RESOLUÇÃO Nº </w:t>
      </w:r>
      <w:r w:rsidR="000A3225" w:rsidRPr="00A639CA">
        <w:rPr>
          <w:rFonts w:ascii="Arial" w:hAnsi="Arial" w:cs="Arial"/>
          <w:b/>
          <w:bCs/>
          <w:iCs/>
        </w:rPr>
        <w:t>0</w:t>
      </w:r>
      <w:r w:rsidR="00476345">
        <w:rPr>
          <w:rFonts w:ascii="Arial" w:hAnsi="Arial" w:cs="Arial"/>
          <w:b/>
          <w:bCs/>
          <w:iCs/>
        </w:rPr>
        <w:t>3</w:t>
      </w:r>
      <w:r w:rsidRPr="00A639CA">
        <w:rPr>
          <w:rFonts w:ascii="Arial" w:hAnsi="Arial" w:cs="Arial"/>
          <w:b/>
          <w:bCs/>
          <w:iCs/>
        </w:rPr>
        <w:t xml:space="preserve">, DE </w:t>
      </w:r>
      <w:r w:rsidR="00476345">
        <w:rPr>
          <w:rFonts w:ascii="Arial" w:hAnsi="Arial" w:cs="Arial"/>
          <w:b/>
          <w:bCs/>
          <w:iCs/>
        </w:rPr>
        <w:t>27</w:t>
      </w:r>
      <w:r w:rsidRPr="00A639CA">
        <w:rPr>
          <w:rFonts w:ascii="Arial" w:hAnsi="Arial" w:cs="Arial"/>
          <w:b/>
          <w:bCs/>
          <w:iCs/>
        </w:rPr>
        <w:t xml:space="preserve"> DE </w:t>
      </w:r>
      <w:r w:rsidR="00555077">
        <w:rPr>
          <w:rFonts w:ascii="Arial" w:hAnsi="Arial" w:cs="Arial"/>
          <w:b/>
          <w:bCs/>
          <w:iCs/>
        </w:rPr>
        <w:t>FEVEREIRO</w:t>
      </w:r>
      <w:r w:rsidRPr="00A639CA">
        <w:rPr>
          <w:rFonts w:ascii="Arial" w:hAnsi="Arial" w:cs="Arial"/>
          <w:b/>
          <w:bCs/>
          <w:iCs/>
        </w:rPr>
        <w:t xml:space="preserve"> DE 202</w:t>
      </w:r>
      <w:r w:rsidR="00555077">
        <w:rPr>
          <w:rFonts w:ascii="Arial" w:hAnsi="Arial" w:cs="Arial"/>
          <w:b/>
          <w:bCs/>
          <w:iCs/>
        </w:rPr>
        <w:t>5</w:t>
      </w:r>
      <w:r w:rsidR="00013BD7">
        <w:rPr>
          <w:rFonts w:ascii="Arial" w:hAnsi="Arial" w:cs="Arial"/>
          <w:b/>
          <w:bCs/>
          <w:iCs/>
        </w:rPr>
        <w:t>.</w:t>
      </w:r>
    </w:p>
    <w:p w:rsidR="00EC2278" w:rsidRPr="00A639CA" w:rsidRDefault="00EC2278" w:rsidP="00EC2278">
      <w:pPr>
        <w:ind w:right="37"/>
        <w:jc w:val="center"/>
        <w:rPr>
          <w:rFonts w:ascii="Arial" w:hAnsi="Arial" w:cs="Arial"/>
          <w:b/>
          <w:bCs/>
          <w:iCs/>
        </w:rPr>
      </w:pPr>
    </w:p>
    <w:p w:rsidR="00EC2278" w:rsidRPr="00A639CA" w:rsidRDefault="00EC2278" w:rsidP="00EC2278">
      <w:pPr>
        <w:ind w:right="37"/>
        <w:rPr>
          <w:rFonts w:ascii="Arial" w:hAnsi="Arial" w:cs="Arial"/>
          <w:bCs/>
          <w:iCs/>
        </w:rPr>
      </w:pPr>
    </w:p>
    <w:p w:rsidR="00476345" w:rsidRPr="00F97B7A" w:rsidRDefault="00476345" w:rsidP="00476345">
      <w:pPr>
        <w:spacing w:line="360" w:lineRule="auto"/>
        <w:ind w:firstLine="709"/>
        <w:jc w:val="both"/>
        <w:rPr>
          <w:rFonts w:ascii="Arial" w:hAnsi="Arial" w:cs="Arial"/>
        </w:rPr>
      </w:pPr>
      <w:r w:rsidRPr="00F97B7A">
        <w:rPr>
          <w:rFonts w:ascii="Arial" w:hAnsi="Arial" w:cs="Arial"/>
          <w:b/>
        </w:rPr>
        <w:t>O CONSELHO ESTADUAL DE ASSISTÊNCIA SOCIAL - CEAS</w:t>
      </w:r>
      <w:r w:rsidRPr="00F97B7A">
        <w:rPr>
          <w:rFonts w:ascii="Arial" w:hAnsi="Arial" w:cs="Arial"/>
        </w:rPr>
        <w:t xml:space="preserve">, em Reunião Ordinária realizada no dia </w:t>
      </w:r>
      <w:r>
        <w:rPr>
          <w:rFonts w:ascii="Arial" w:hAnsi="Arial" w:cs="Arial"/>
        </w:rPr>
        <w:t>27</w:t>
      </w:r>
      <w:r w:rsidRPr="00F97B7A">
        <w:rPr>
          <w:rFonts w:ascii="Arial" w:hAnsi="Arial" w:cs="Arial"/>
        </w:rPr>
        <w:t xml:space="preserve"> de fevereiro de 202</w:t>
      </w:r>
      <w:r>
        <w:rPr>
          <w:rFonts w:ascii="Arial" w:hAnsi="Arial" w:cs="Arial"/>
        </w:rPr>
        <w:t>5</w:t>
      </w:r>
      <w:r w:rsidRPr="00F97B7A">
        <w:rPr>
          <w:rFonts w:ascii="Arial" w:hAnsi="Arial" w:cs="Arial"/>
        </w:rPr>
        <w:t xml:space="preserve">, órgão superior de deliberação colegiada do SUAS, no uso das atribuições que lhe foram conferidas pela Lei nº 3.634, de 04 de junho de 2020 e a Lei nº 8.742 de 07 de dezembro de 1993 – Lei Orgânica de Assistência Social (LOAS), e </w:t>
      </w:r>
    </w:p>
    <w:p w:rsidR="0093157A" w:rsidRPr="00F97E0B" w:rsidRDefault="0093157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28733A" w:rsidRPr="00A639CA" w:rsidRDefault="0093157A" w:rsidP="006C195B">
      <w:pPr>
        <w:spacing w:line="360" w:lineRule="auto"/>
        <w:ind w:firstLine="709"/>
        <w:jc w:val="both"/>
        <w:rPr>
          <w:rFonts w:ascii="Arial" w:hAnsi="Arial" w:cs="Arial"/>
          <w:color w:val="000000"/>
        </w:rPr>
      </w:pPr>
      <w:r w:rsidRPr="00A639CA">
        <w:rPr>
          <w:rFonts w:ascii="Arial" w:hAnsi="Arial" w:cs="Arial"/>
          <w:b/>
        </w:rPr>
        <w:t>Considerando</w:t>
      </w:r>
      <w:r w:rsidRPr="00A639CA">
        <w:rPr>
          <w:rFonts w:ascii="Arial" w:hAnsi="Arial" w:cs="Arial"/>
        </w:rPr>
        <w:t xml:space="preserve"> o </w:t>
      </w:r>
      <w:r w:rsidR="00EC7EFD" w:rsidRPr="00A639CA">
        <w:rPr>
          <w:rFonts w:ascii="Arial" w:hAnsi="Arial" w:cs="Arial"/>
        </w:rPr>
        <w:t xml:space="preserve">Regimento Interno no </w:t>
      </w:r>
      <w:r w:rsidR="0028733A" w:rsidRPr="00A639CA">
        <w:rPr>
          <w:rFonts w:ascii="Arial" w:hAnsi="Arial" w:cs="Arial"/>
          <w:bCs/>
          <w:color w:val="000000"/>
        </w:rPr>
        <w:t>Art. 34</w:t>
      </w:r>
      <w:r w:rsidR="0028733A" w:rsidRPr="00A639CA">
        <w:rPr>
          <w:rFonts w:ascii="Arial" w:hAnsi="Arial" w:cs="Arial"/>
          <w:color w:val="000000"/>
        </w:rPr>
        <w:t xml:space="preserve">. Compete ao Presidente do CEAS: </w:t>
      </w:r>
    </w:p>
    <w:p w:rsidR="0028733A" w:rsidRPr="00F97E0B" w:rsidRDefault="0028733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28733A" w:rsidRPr="00A639CA" w:rsidRDefault="0028733A" w:rsidP="006C195B">
      <w:pPr>
        <w:pStyle w:val="Default"/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</w:rPr>
        <w:t xml:space="preserve">XII - decidir, ad referendum, acerca de assuntos emergenciais quando houver impossibilidade de consulta à Plenária; </w:t>
      </w:r>
    </w:p>
    <w:p w:rsidR="00EC2278" w:rsidRPr="00F97E0B" w:rsidRDefault="00EC2278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17728D" w:rsidRDefault="0093157A" w:rsidP="006C195B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>Considerando</w:t>
      </w:r>
      <w:r w:rsidRPr="00A639CA">
        <w:rPr>
          <w:rFonts w:ascii="Arial" w:hAnsi="Arial" w:cs="Arial"/>
        </w:rPr>
        <w:t xml:space="preserve"> a </w:t>
      </w:r>
      <w:r w:rsidR="0017728D" w:rsidRPr="0017728D">
        <w:rPr>
          <w:rFonts w:ascii="Arial" w:hAnsi="Arial" w:cs="Arial"/>
        </w:rPr>
        <w:t xml:space="preserve">Lei 4.511 de </w:t>
      </w:r>
      <w:r w:rsidR="0017728D">
        <w:rPr>
          <w:rFonts w:ascii="Arial" w:hAnsi="Arial" w:cs="Arial"/>
        </w:rPr>
        <w:t xml:space="preserve">30 de dezembro de 2024, </w:t>
      </w:r>
      <w:r w:rsidR="0017728D" w:rsidRPr="0017728D">
        <w:rPr>
          <w:rFonts w:ascii="Arial" w:hAnsi="Arial" w:cs="Arial"/>
        </w:rPr>
        <w:t>“Estima a receita e fixa a despesa do Estado para o exercício financeiro de 2025 e dá outras providências</w:t>
      </w:r>
      <w:r w:rsidR="0017728D">
        <w:rPr>
          <w:rFonts w:ascii="Arial" w:hAnsi="Arial" w:cs="Arial"/>
        </w:rPr>
        <w:t>”</w:t>
      </w:r>
      <w:r w:rsidR="00476345">
        <w:rPr>
          <w:rFonts w:ascii="Arial" w:hAnsi="Arial" w:cs="Arial"/>
        </w:rPr>
        <w:t xml:space="preserve">; </w:t>
      </w:r>
    </w:p>
    <w:p w:rsidR="0093157A" w:rsidRPr="00F97E0B" w:rsidRDefault="0093157A" w:rsidP="006C195B">
      <w:pPr>
        <w:spacing w:line="360" w:lineRule="auto"/>
        <w:ind w:firstLine="709"/>
        <w:jc w:val="both"/>
        <w:rPr>
          <w:rFonts w:ascii="Arial" w:hAnsi="Arial" w:cs="Arial"/>
          <w:sz w:val="16"/>
          <w:szCs w:val="16"/>
        </w:rPr>
      </w:pPr>
    </w:p>
    <w:p w:rsidR="00DE6972" w:rsidRPr="00A639CA" w:rsidRDefault="00FF6A99" w:rsidP="006C195B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color w:val="000000"/>
        </w:rPr>
      </w:pPr>
      <w:r w:rsidRPr="00A639CA">
        <w:rPr>
          <w:rFonts w:ascii="Arial" w:hAnsi="Arial" w:cs="Arial"/>
          <w:b/>
        </w:rPr>
        <w:t>Considerando</w:t>
      </w:r>
      <w:r w:rsidR="00476345">
        <w:rPr>
          <w:rFonts w:ascii="Arial" w:hAnsi="Arial" w:cs="Arial"/>
          <w:b/>
        </w:rPr>
        <w:t xml:space="preserve"> ainda, </w:t>
      </w:r>
      <w:r w:rsidR="00476345" w:rsidRPr="00476345">
        <w:rPr>
          <w:rFonts w:ascii="Arial" w:hAnsi="Arial" w:cs="Arial"/>
          <w:bCs/>
        </w:rPr>
        <w:t>o</w:t>
      </w:r>
      <w:r w:rsidR="00476345">
        <w:rPr>
          <w:rFonts w:ascii="Arial" w:hAnsi="Arial" w:cs="Arial"/>
          <w:b/>
        </w:rPr>
        <w:t xml:space="preserve"> </w:t>
      </w:r>
      <w:r w:rsidR="00476345">
        <w:rPr>
          <w:rStyle w:val="Forte"/>
          <w:rFonts w:ascii="Arial" w:hAnsi="Arial" w:cs="Arial"/>
          <w:b w:val="0"/>
          <w:caps/>
          <w:color w:val="000000"/>
        </w:rPr>
        <w:t>OFÍCIO</w:t>
      </w:r>
      <w:r w:rsidR="00214355" w:rsidRPr="00214355">
        <w:rPr>
          <w:rStyle w:val="Forte"/>
          <w:rFonts w:ascii="Arial" w:hAnsi="Arial" w:cs="Arial"/>
          <w:b w:val="0"/>
          <w:bCs w:val="0"/>
          <w:caps/>
          <w:color w:val="000000"/>
        </w:rPr>
        <w:t xml:space="preserve"> nº 349/2025/SEASDH</w:t>
      </w:r>
      <w:r w:rsidR="00BC624D" w:rsidRPr="00214355">
        <w:rPr>
          <w:rStyle w:val="Forte"/>
          <w:rFonts w:ascii="Arial" w:hAnsi="Arial" w:cs="Arial"/>
          <w:b w:val="0"/>
          <w:caps/>
          <w:color w:val="000000"/>
        </w:rPr>
        <w:t xml:space="preserve"> </w:t>
      </w:r>
      <w:r w:rsidR="000A3225" w:rsidRPr="00214355">
        <w:rPr>
          <w:rStyle w:val="Forte"/>
          <w:rFonts w:ascii="Arial" w:hAnsi="Arial" w:cs="Arial"/>
          <w:b w:val="0"/>
          <w:caps/>
          <w:color w:val="000000"/>
        </w:rPr>
        <w:t>SEI</w:t>
      </w:r>
      <w:r w:rsidR="00BC624D" w:rsidRPr="00214355">
        <w:rPr>
          <w:rFonts w:ascii="Arial" w:hAnsi="Arial" w:cs="Arial"/>
          <w:color w:val="000000"/>
        </w:rPr>
        <w:t xml:space="preserve"> </w:t>
      </w:r>
      <w:r w:rsidR="00214355" w:rsidRPr="00214355">
        <w:rPr>
          <w:rFonts w:ascii="Arial" w:hAnsi="Arial" w:cs="Arial"/>
          <w:color w:val="000000"/>
        </w:rPr>
        <w:t xml:space="preserve">0860.012981.00008/2025-40 </w:t>
      </w:r>
      <w:r w:rsidR="000A3225" w:rsidRPr="00A639CA">
        <w:rPr>
          <w:rFonts w:ascii="Arial" w:hAnsi="Arial" w:cs="Arial"/>
          <w:color w:val="000000"/>
        </w:rPr>
        <w:t>remanejamento orçamentário do 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 xml:space="preserve">FEAS </w:t>
      </w:r>
      <w:r w:rsidR="00E207B4">
        <w:rPr>
          <w:rStyle w:val="Forte"/>
          <w:rFonts w:ascii="Arial" w:hAnsi="Arial" w:cs="Arial"/>
          <w:b w:val="0"/>
          <w:color w:val="000000"/>
        </w:rPr>
        <w:t>760.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>608</w:t>
      </w:r>
      <w:r w:rsidR="000A3225" w:rsidRPr="00A639CA">
        <w:rPr>
          <w:rStyle w:val="Forte"/>
          <w:rFonts w:ascii="Arial" w:hAnsi="Arial" w:cs="Arial"/>
          <w:color w:val="000000"/>
        </w:rPr>
        <w:t> </w:t>
      </w:r>
      <w:r w:rsidR="000A3225" w:rsidRPr="00A639CA">
        <w:rPr>
          <w:rFonts w:ascii="Arial" w:hAnsi="Arial" w:cs="Arial"/>
          <w:color w:val="000000"/>
        </w:rPr>
        <w:t>para fortalecimento do orçamento da Unidade Orçamentária </w:t>
      </w:r>
      <w:r w:rsidR="00214355" w:rsidRPr="00214355">
        <w:rPr>
          <w:rFonts w:ascii="Arial" w:hAnsi="Arial" w:cs="Arial"/>
          <w:color w:val="000000"/>
        </w:rPr>
        <w:t>450.001</w:t>
      </w:r>
      <w:r w:rsidR="000A3225" w:rsidRPr="00A639CA">
        <w:rPr>
          <w:rStyle w:val="Forte"/>
          <w:rFonts w:ascii="Arial" w:hAnsi="Arial" w:cs="Arial"/>
          <w:b w:val="0"/>
          <w:color w:val="000000"/>
        </w:rPr>
        <w:t>. </w:t>
      </w:r>
    </w:p>
    <w:p w:rsidR="00BC624D" w:rsidRPr="00A639CA" w:rsidRDefault="00BC624D" w:rsidP="006C195B">
      <w:pPr>
        <w:spacing w:line="360" w:lineRule="auto"/>
        <w:ind w:firstLine="709"/>
        <w:jc w:val="both"/>
        <w:rPr>
          <w:rStyle w:val="Forte"/>
          <w:rFonts w:ascii="Arial" w:hAnsi="Arial" w:cs="Arial"/>
          <w:b w:val="0"/>
          <w:color w:val="000000"/>
        </w:rPr>
      </w:pPr>
    </w:p>
    <w:p w:rsidR="00DE6972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A639CA">
        <w:rPr>
          <w:rFonts w:ascii="Arial" w:hAnsi="Arial" w:cs="Arial"/>
          <w:b/>
        </w:rPr>
        <w:t>RESOLVE:</w:t>
      </w:r>
    </w:p>
    <w:p w:rsidR="00DE6972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  <w:b/>
        </w:rPr>
      </w:pPr>
    </w:p>
    <w:p w:rsidR="00D336BD" w:rsidRPr="00A639CA" w:rsidRDefault="00DE6972" w:rsidP="006C195B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>Art. 1º</w:t>
      </w:r>
      <w:r w:rsidRPr="00A639CA">
        <w:rPr>
          <w:rFonts w:ascii="Arial" w:hAnsi="Arial" w:cs="Arial"/>
        </w:rPr>
        <w:t xml:space="preserve"> </w:t>
      </w:r>
      <w:r w:rsidR="00D007BC" w:rsidRPr="00A639CA">
        <w:rPr>
          <w:rFonts w:ascii="Arial" w:hAnsi="Arial" w:cs="Arial"/>
          <w:b/>
        </w:rPr>
        <w:t>APROVAR</w:t>
      </w:r>
      <w:r w:rsidR="00BC624D" w:rsidRPr="00A639CA">
        <w:rPr>
          <w:rFonts w:ascii="Arial" w:hAnsi="Arial" w:cs="Arial"/>
          <w:b/>
        </w:rPr>
        <w:t xml:space="preserve"> </w:t>
      </w:r>
      <w:r w:rsidR="00BC624D" w:rsidRPr="00A639CA">
        <w:rPr>
          <w:rFonts w:ascii="Arial" w:hAnsi="Arial" w:cs="Arial"/>
        </w:rPr>
        <w:t>o</w:t>
      </w:r>
      <w:r w:rsidR="00D007BC" w:rsidRPr="00A639CA">
        <w:rPr>
          <w:rFonts w:ascii="Arial" w:hAnsi="Arial" w:cs="Arial"/>
        </w:rPr>
        <w:t xml:space="preserve"> </w:t>
      </w:r>
      <w:r w:rsidR="00BC624D" w:rsidRPr="00A639CA">
        <w:rPr>
          <w:rFonts w:ascii="Arial" w:hAnsi="Arial" w:cs="Arial"/>
        </w:rPr>
        <w:t xml:space="preserve">Remanejamento de Recursos </w:t>
      </w:r>
      <w:r w:rsidR="000769A7" w:rsidRPr="00A639CA">
        <w:rPr>
          <w:rFonts w:ascii="Arial" w:hAnsi="Arial" w:cs="Arial"/>
          <w:color w:val="000000"/>
        </w:rPr>
        <w:t>O</w:t>
      </w:r>
      <w:r w:rsidR="00825C68" w:rsidRPr="00A639CA">
        <w:rPr>
          <w:rFonts w:ascii="Arial" w:hAnsi="Arial" w:cs="Arial"/>
          <w:color w:val="000000"/>
        </w:rPr>
        <w:t>rçamentário</w:t>
      </w:r>
      <w:r w:rsidR="000769A7" w:rsidRPr="00A639CA">
        <w:rPr>
          <w:rFonts w:ascii="Arial" w:hAnsi="Arial" w:cs="Arial"/>
          <w:color w:val="000000"/>
        </w:rPr>
        <w:t xml:space="preserve">s </w:t>
      </w:r>
      <w:r w:rsidR="00D244DA">
        <w:rPr>
          <w:rFonts w:ascii="Arial" w:hAnsi="Arial" w:cs="Arial"/>
          <w:color w:val="000000"/>
        </w:rPr>
        <w:t xml:space="preserve">da </w:t>
      </w:r>
      <w:r w:rsidR="000769A7" w:rsidRPr="00A639CA">
        <w:rPr>
          <w:rFonts w:ascii="Arial" w:hAnsi="Arial" w:cs="Arial"/>
          <w:color w:val="000000"/>
        </w:rPr>
        <w:t>Unidade</w:t>
      </w:r>
      <w:r w:rsidR="00460EE3">
        <w:rPr>
          <w:rFonts w:ascii="Arial" w:hAnsi="Arial" w:cs="Arial"/>
          <w:color w:val="000000"/>
        </w:rPr>
        <w:t xml:space="preserve"> </w:t>
      </w:r>
      <w:r w:rsidR="00460EE3" w:rsidRPr="00460EE3">
        <w:rPr>
          <w:rFonts w:ascii="Arial" w:hAnsi="Arial" w:cs="Arial"/>
          <w:color w:val="000000"/>
        </w:rPr>
        <w:t>760.608 (FEAS)</w:t>
      </w:r>
      <w:r w:rsidR="00460EE3">
        <w:rPr>
          <w:rFonts w:ascii="Times-New-Roman" w:hAnsi="Times-New-Roman"/>
          <w:color w:val="000000"/>
          <w:sz w:val="22"/>
          <w:szCs w:val="22"/>
        </w:rPr>
        <w:t xml:space="preserve"> </w:t>
      </w:r>
      <w:r w:rsidR="000769A7" w:rsidRPr="00A639CA">
        <w:rPr>
          <w:rStyle w:val="Forte"/>
          <w:rFonts w:ascii="Arial" w:hAnsi="Arial" w:cs="Arial"/>
          <w:b w:val="0"/>
          <w:color w:val="000000"/>
        </w:rPr>
        <w:t>Fundo Estadual de Assistência Social,</w:t>
      </w:r>
      <w:r w:rsidR="000769A7" w:rsidRPr="00A639CA">
        <w:rPr>
          <w:rStyle w:val="Forte"/>
          <w:rFonts w:ascii="Arial" w:hAnsi="Arial" w:cs="Arial"/>
          <w:color w:val="000000"/>
        </w:rPr>
        <w:t xml:space="preserve"> </w:t>
      </w:r>
      <w:r w:rsidR="00825C68" w:rsidRPr="00A639CA">
        <w:rPr>
          <w:rFonts w:ascii="Arial" w:hAnsi="Arial" w:cs="Arial"/>
          <w:color w:val="000000"/>
        </w:rPr>
        <w:t xml:space="preserve">para Unidade </w:t>
      </w:r>
      <w:r w:rsidR="00460EE3">
        <w:rPr>
          <w:rFonts w:ascii="Arial" w:hAnsi="Arial" w:cs="Arial"/>
          <w:color w:val="000000"/>
        </w:rPr>
        <w:t xml:space="preserve">Orçamentária </w:t>
      </w:r>
      <w:r w:rsidR="00460EE3" w:rsidRPr="00214355">
        <w:rPr>
          <w:rFonts w:ascii="Arial" w:hAnsi="Arial" w:cs="Arial"/>
          <w:color w:val="000000"/>
        </w:rPr>
        <w:t>450.001</w:t>
      </w:r>
      <w:r w:rsidR="00D336BD" w:rsidRPr="00A639CA">
        <w:rPr>
          <w:rFonts w:ascii="Arial" w:hAnsi="Arial" w:cs="Arial"/>
          <w:b/>
        </w:rPr>
        <w:t>,</w:t>
      </w:r>
      <w:r w:rsidR="00D336BD" w:rsidRPr="00A639CA">
        <w:rPr>
          <w:rFonts w:ascii="Arial" w:hAnsi="Arial" w:cs="Arial"/>
        </w:rPr>
        <w:t xml:space="preserve"> </w:t>
      </w:r>
      <w:r w:rsidR="000769A7" w:rsidRPr="00A639CA">
        <w:rPr>
          <w:rFonts w:ascii="Arial" w:hAnsi="Arial" w:cs="Arial"/>
        </w:rPr>
        <w:t xml:space="preserve">no valor de R$ </w:t>
      </w:r>
      <w:r w:rsidR="00460EE3">
        <w:rPr>
          <w:rFonts w:ascii="Arial" w:hAnsi="Arial" w:cs="Arial"/>
        </w:rPr>
        <w:t xml:space="preserve">21.400,00 </w:t>
      </w:r>
      <w:r w:rsidR="000769A7" w:rsidRPr="00A639CA">
        <w:rPr>
          <w:rFonts w:ascii="Arial" w:hAnsi="Arial" w:cs="Arial"/>
        </w:rPr>
        <w:t>(</w:t>
      </w:r>
      <w:r w:rsidR="00460EE3">
        <w:rPr>
          <w:rFonts w:ascii="Arial" w:hAnsi="Arial" w:cs="Arial"/>
        </w:rPr>
        <w:t xml:space="preserve">vinte e </w:t>
      </w:r>
      <w:r w:rsidR="00F77C13">
        <w:rPr>
          <w:rFonts w:ascii="Arial" w:hAnsi="Arial" w:cs="Arial"/>
        </w:rPr>
        <w:t xml:space="preserve">um </w:t>
      </w:r>
      <w:r w:rsidR="00F77C13" w:rsidRPr="00A639CA">
        <w:rPr>
          <w:rFonts w:ascii="Arial" w:hAnsi="Arial" w:cs="Arial"/>
        </w:rPr>
        <w:t>mil</w:t>
      </w:r>
      <w:r w:rsidR="00460EE3">
        <w:rPr>
          <w:rFonts w:ascii="Arial" w:hAnsi="Arial" w:cs="Arial"/>
        </w:rPr>
        <w:t xml:space="preserve">, </w:t>
      </w:r>
      <w:r w:rsidR="00E207B4">
        <w:rPr>
          <w:rFonts w:ascii="Arial" w:hAnsi="Arial" w:cs="Arial"/>
        </w:rPr>
        <w:t>e quatrocentos</w:t>
      </w:r>
      <w:r w:rsidR="00460EE3">
        <w:rPr>
          <w:rFonts w:ascii="Arial" w:hAnsi="Arial" w:cs="Arial"/>
        </w:rPr>
        <w:t xml:space="preserve"> </w:t>
      </w:r>
      <w:r w:rsidR="00A639CA" w:rsidRPr="00A639CA">
        <w:rPr>
          <w:rFonts w:ascii="Arial" w:hAnsi="Arial" w:cs="Arial"/>
        </w:rPr>
        <w:lastRenderedPageBreak/>
        <w:t>reais),</w:t>
      </w:r>
      <w:r w:rsidR="00F97E0B" w:rsidRPr="00F97E0B">
        <w:rPr>
          <w:rFonts w:ascii="Times-New-Roman" w:hAnsi="Times-New-Roman"/>
          <w:color w:val="000000"/>
          <w:sz w:val="22"/>
          <w:szCs w:val="22"/>
        </w:rPr>
        <w:t xml:space="preserve"> </w:t>
      </w:r>
      <w:r w:rsidR="00F97E0B" w:rsidRPr="00F97E0B">
        <w:rPr>
          <w:rFonts w:ascii="Arial" w:hAnsi="Arial" w:cs="Arial"/>
          <w:color w:val="000000"/>
        </w:rPr>
        <w:t xml:space="preserve">afim de atender a ação do encontro de gestores, </w:t>
      </w:r>
      <w:r w:rsidR="0069772C">
        <w:rPr>
          <w:rFonts w:ascii="Arial" w:hAnsi="Arial" w:cs="Arial"/>
          <w:color w:val="000000"/>
        </w:rPr>
        <w:t>realizado</w:t>
      </w:r>
      <w:r w:rsidR="00F97E0B" w:rsidRPr="00F97E0B">
        <w:rPr>
          <w:rFonts w:ascii="Arial" w:hAnsi="Arial" w:cs="Arial"/>
          <w:color w:val="000000"/>
        </w:rPr>
        <w:t xml:space="preserve"> nos dias 19, 20 e 21 de fevereiro do corrente ano</w:t>
      </w:r>
      <w:r w:rsidR="00F97E0B">
        <w:rPr>
          <w:rFonts w:ascii="Arial" w:hAnsi="Arial" w:cs="Arial"/>
          <w:color w:val="000000"/>
        </w:rPr>
        <w:t>,</w:t>
      </w:r>
      <w:r w:rsidR="00A639CA" w:rsidRPr="00A639CA">
        <w:rPr>
          <w:rFonts w:ascii="Arial" w:hAnsi="Arial" w:cs="Arial"/>
        </w:rPr>
        <w:t xml:space="preserve"> conforme</w:t>
      </w:r>
      <w:r w:rsidR="00825C68" w:rsidRPr="00A639CA">
        <w:rPr>
          <w:rFonts w:ascii="Arial" w:hAnsi="Arial" w:cs="Arial"/>
        </w:rPr>
        <w:t xml:space="preserve"> tabela abaixo:</w:t>
      </w:r>
    </w:p>
    <w:tbl>
      <w:tblPr>
        <w:tblW w:w="9030" w:type="dxa"/>
        <w:tblCellSpacing w:w="7" w:type="dxa"/>
        <w:tblBorders>
          <w:top w:val="outset" w:sz="12" w:space="0" w:color="auto"/>
          <w:left w:val="outset" w:sz="12" w:space="0" w:color="auto"/>
          <w:bottom w:val="outset" w:sz="12" w:space="0" w:color="auto"/>
          <w:right w:val="outset" w:sz="12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5"/>
        <w:gridCol w:w="3456"/>
        <w:gridCol w:w="1649"/>
        <w:gridCol w:w="1529"/>
        <w:gridCol w:w="1701"/>
      </w:tblGrid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Item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Descrição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Quantidade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Valor Unitário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Style w:val="Forte"/>
                <w:rFonts w:ascii="Arial" w:hAnsi="Arial" w:cs="Arial"/>
                <w:color w:val="000000"/>
              </w:rPr>
              <w:t>Valor Total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Serviço de Alimentação Cofee Break mínimo 05 tipos de salgados, 02 tipos de pães, 02 tipos de doces, 02 tipos de sucos naturais, 02 tipos de refrigerantes e uma garrafa de café de 2,5l sem açúcar.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280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R$ 55,00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R$ 15.400,00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Serviço de Locação de espaço físico– auditório com capacidade mínima de 150 pessoas.</w:t>
            </w:r>
          </w:p>
        </w:tc>
        <w:tc>
          <w:tcPr>
            <w:tcW w:w="16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15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R$ 2.000,00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R$ 6.000,00</w:t>
            </w:r>
          </w:p>
        </w:tc>
      </w:tr>
      <w:tr w:rsidR="00460EE3" w:rsidRPr="00F97E0B" w:rsidTr="00460EE3">
        <w:trPr>
          <w:tblCellSpacing w:w="7" w:type="dxa"/>
        </w:trPr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F97E0B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color w:val="000000"/>
              </w:rPr>
            </w:pPr>
            <w:r w:rsidRPr="00F97E0B">
              <w:rPr>
                <w:rFonts w:ascii="Arial" w:hAnsi="Arial" w:cs="Arial"/>
                <w:color w:val="000000"/>
              </w:rPr>
              <w:t>Total</w:t>
            </w:r>
          </w:p>
        </w:tc>
        <w:tc>
          <w:tcPr>
            <w:tcW w:w="16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460EE3" w:rsidRPr="0017728D" w:rsidRDefault="00460EE3">
            <w:pPr>
              <w:pStyle w:val="tabelatextocentralizado"/>
              <w:spacing w:before="0" w:beforeAutospacing="0" w:after="0" w:afterAutospacing="0"/>
              <w:ind w:left="60" w:right="60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17728D">
              <w:rPr>
                <w:rStyle w:val="Forte"/>
                <w:rFonts w:ascii="Arial" w:hAnsi="Arial" w:cs="Arial"/>
                <w:b w:val="0"/>
                <w:bCs w:val="0"/>
                <w:color w:val="000000"/>
              </w:rPr>
              <w:t>R$ 21.400,00</w:t>
            </w:r>
          </w:p>
        </w:tc>
      </w:tr>
    </w:tbl>
    <w:p w:rsidR="000769A7" w:rsidRPr="00A639CA" w:rsidRDefault="000769A7" w:rsidP="00A639CA">
      <w:pPr>
        <w:spacing w:line="360" w:lineRule="auto"/>
        <w:ind w:firstLine="709"/>
        <w:jc w:val="both"/>
        <w:rPr>
          <w:rFonts w:ascii="Arial" w:hAnsi="Arial" w:cs="Arial"/>
        </w:rPr>
      </w:pPr>
    </w:p>
    <w:p w:rsidR="00DE6972" w:rsidRPr="00A639CA" w:rsidRDefault="00B75190" w:rsidP="00A639CA">
      <w:pPr>
        <w:spacing w:line="360" w:lineRule="auto"/>
        <w:ind w:firstLine="709"/>
        <w:jc w:val="both"/>
        <w:rPr>
          <w:rFonts w:ascii="Arial" w:hAnsi="Arial" w:cs="Arial"/>
        </w:rPr>
      </w:pPr>
      <w:r w:rsidRPr="00A639CA">
        <w:rPr>
          <w:rFonts w:ascii="Arial" w:hAnsi="Arial" w:cs="Arial"/>
          <w:b/>
        </w:rPr>
        <w:t xml:space="preserve">Art. </w:t>
      </w:r>
      <w:r w:rsidR="00424B89" w:rsidRPr="00A639CA">
        <w:rPr>
          <w:rFonts w:ascii="Arial" w:hAnsi="Arial" w:cs="Arial"/>
          <w:b/>
        </w:rPr>
        <w:t>2</w:t>
      </w:r>
      <w:r w:rsidR="00DE6972" w:rsidRPr="00A639CA">
        <w:rPr>
          <w:rFonts w:ascii="Arial" w:hAnsi="Arial" w:cs="Arial"/>
          <w:b/>
        </w:rPr>
        <w:t>º</w:t>
      </w:r>
      <w:r w:rsidR="00387662" w:rsidRPr="00A639CA">
        <w:rPr>
          <w:rFonts w:ascii="Arial" w:hAnsi="Arial" w:cs="Arial"/>
        </w:rPr>
        <w:t xml:space="preserve"> Esta R</w:t>
      </w:r>
      <w:r w:rsidR="00DE6972" w:rsidRPr="00A639CA">
        <w:rPr>
          <w:rFonts w:ascii="Arial" w:hAnsi="Arial" w:cs="Arial"/>
        </w:rPr>
        <w:t>esolução entra em vigor na data de sua publicação</w:t>
      </w:r>
      <w:r w:rsidR="00A416B8" w:rsidRPr="00A639CA">
        <w:rPr>
          <w:rFonts w:ascii="Arial" w:hAnsi="Arial" w:cs="Arial"/>
        </w:rPr>
        <w:t>.</w:t>
      </w:r>
    </w:p>
    <w:p w:rsidR="00EC2278" w:rsidRPr="00A639CA" w:rsidRDefault="00EC2278" w:rsidP="00A639CA">
      <w:pPr>
        <w:spacing w:line="360" w:lineRule="auto"/>
        <w:ind w:firstLine="851"/>
        <w:jc w:val="both"/>
        <w:rPr>
          <w:rFonts w:ascii="Arial" w:hAnsi="Arial" w:cs="Arial"/>
        </w:rPr>
      </w:pPr>
    </w:p>
    <w:p w:rsidR="00A416B8" w:rsidRPr="00A639CA" w:rsidRDefault="00A416B8" w:rsidP="00A416B8">
      <w:pPr>
        <w:ind w:firstLine="709"/>
        <w:jc w:val="both"/>
        <w:rPr>
          <w:rFonts w:ascii="Arial" w:hAnsi="Arial" w:cs="Arial"/>
        </w:rPr>
      </w:pPr>
    </w:p>
    <w:p w:rsidR="00C844CD" w:rsidRPr="00A639CA" w:rsidRDefault="00C844CD" w:rsidP="00C844CD">
      <w:pPr>
        <w:pStyle w:val="Cabealho"/>
        <w:tabs>
          <w:tab w:val="clear" w:pos="4419"/>
          <w:tab w:val="clear" w:pos="8838"/>
          <w:tab w:val="left" w:pos="6750"/>
        </w:tabs>
        <w:jc w:val="center"/>
        <w:rPr>
          <w:rFonts w:ascii="Arial" w:hAnsi="Arial" w:cs="Arial"/>
        </w:rPr>
      </w:pPr>
    </w:p>
    <w:p w:rsidR="00C844CD" w:rsidRPr="00A639CA" w:rsidRDefault="00460EE3" w:rsidP="00C844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Gabriel Maia Gelpke</w:t>
      </w:r>
    </w:p>
    <w:p w:rsidR="00CC4327" w:rsidRPr="00A639CA" w:rsidRDefault="00C844CD" w:rsidP="00A416B8">
      <w:pPr>
        <w:jc w:val="center"/>
        <w:rPr>
          <w:rFonts w:ascii="Arial" w:hAnsi="Arial" w:cs="Arial"/>
          <w:b/>
        </w:rPr>
      </w:pPr>
      <w:r w:rsidRPr="00A639CA">
        <w:rPr>
          <w:rFonts w:ascii="Arial" w:hAnsi="Arial" w:cs="Arial"/>
        </w:rPr>
        <w:t>Presidente do CEAS/AC</w:t>
      </w:r>
    </w:p>
    <w:sectPr w:rsidR="00CC4327" w:rsidRPr="00A639C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1E8F" w:rsidRDefault="00831E8F">
      <w:r>
        <w:separator/>
      </w:r>
    </w:p>
  </w:endnote>
  <w:endnote w:type="continuationSeparator" w:id="0">
    <w:p w:rsidR="00831E8F" w:rsidRDefault="00831E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-Roman">
    <w:altName w:val="Times New Roman"/>
    <w:panose1 w:val="00000000000000000000"/>
    <w:charset w:val="00"/>
    <w:family w:val="roman"/>
    <w:notTrueType/>
    <w:pitch w:val="default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1E8F" w:rsidRDefault="00831E8F">
      <w:r>
        <w:separator/>
      </w:r>
    </w:p>
  </w:footnote>
  <w:footnote w:type="continuationSeparator" w:id="0">
    <w:p w:rsidR="00831E8F" w:rsidRDefault="00831E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A7D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Book Antiqua" w:hAnsi="Book Antiqua"/>
        <w:b/>
        <w:bCs/>
        <w:w w:val="130"/>
      </w:rPr>
    </w:pPr>
    <w:r>
      <w:object w:dxaOrig="1867" w:dyaOrig="186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8.75pt;height:48pt" o:ole="">
          <v:imagedata r:id="rId1" o:title="" gain="38011f" blacklevel="-7864f" grayscale="t" bilevel="t"/>
        </v:shape>
        <o:OLEObject Type="Embed" ProgID="CorelDRAW.Graphic.10" ShapeID="_x0000_i1025" DrawAspect="Content" ObjectID="_1819617550" r:id="rId2"/>
      </w:object>
    </w:r>
  </w:p>
  <w:p w:rsidR="00C73A7D" w:rsidRPr="00CE0E77" w:rsidRDefault="00C73A7D" w:rsidP="00B36FCE">
    <w:pPr>
      <w:pStyle w:val="Cabealho"/>
      <w:tabs>
        <w:tab w:val="clear" w:pos="4419"/>
        <w:tab w:val="clear" w:pos="8838"/>
        <w:tab w:val="left" w:pos="1200"/>
      </w:tabs>
      <w:jc w:val="center"/>
      <w:rPr>
        <w:rFonts w:ascii="Verdana" w:hAnsi="Verdana" w:cs="Courier New"/>
        <w:b/>
      </w:rPr>
    </w:pPr>
    <w:r w:rsidRPr="00CE0E77">
      <w:rPr>
        <w:rFonts w:ascii="Verdana" w:hAnsi="Verdana" w:cs="Courier New"/>
        <w:b/>
      </w:rPr>
      <w:t>CONSELHO ESTADUAL DE ASSISTÊNCIA SOCIAL – CEAS/AC</w:t>
    </w:r>
  </w:p>
  <w:p w:rsidR="001F11EB" w:rsidRPr="00652294" w:rsidRDefault="00824C8E" w:rsidP="001F11EB">
    <w:pPr>
      <w:tabs>
        <w:tab w:val="left" w:pos="993"/>
      </w:tabs>
      <w:ind w:left="1134"/>
      <w:jc w:val="center"/>
      <w:rPr>
        <w:sz w:val="20"/>
        <w:szCs w:val="20"/>
      </w:rPr>
    </w:pPr>
    <w:r>
      <w:rPr>
        <w:sz w:val="20"/>
        <w:szCs w:val="20"/>
      </w:rPr>
      <w:t>Avenida Nações Unidas</w:t>
    </w:r>
    <w:r w:rsidR="001F11EB" w:rsidRPr="00652294">
      <w:rPr>
        <w:sz w:val="20"/>
        <w:szCs w:val="20"/>
      </w:rPr>
      <w:t xml:space="preserve">, </w:t>
    </w:r>
    <w:r>
      <w:rPr>
        <w:sz w:val="20"/>
        <w:szCs w:val="20"/>
      </w:rPr>
      <w:t>2.731</w:t>
    </w:r>
    <w:r w:rsidR="001F11EB" w:rsidRPr="00652294">
      <w:rPr>
        <w:sz w:val="20"/>
        <w:szCs w:val="20"/>
      </w:rPr>
      <w:t>, Estação Experimental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Cep: 69.91</w:t>
    </w:r>
    <w:r w:rsidR="002D1FBF">
      <w:rPr>
        <w:sz w:val="20"/>
        <w:szCs w:val="20"/>
      </w:rPr>
      <w:t>8-172</w:t>
    </w:r>
    <w:r w:rsidRPr="00652294">
      <w:rPr>
        <w:sz w:val="20"/>
        <w:szCs w:val="20"/>
      </w:rPr>
      <w:t xml:space="preserve"> – Rio Branco - AC.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sz w:val="20"/>
        <w:szCs w:val="20"/>
      </w:rPr>
    </w:pPr>
    <w:r w:rsidRPr="00652294">
      <w:rPr>
        <w:sz w:val="20"/>
        <w:szCs w:val="20"/>
      </w:rPr>
      <w:t>Telefone/Fax: (68) 3227-4269</w:t>
    </w:r>
  </w:p>
  <w:p w:rsidR="001F11EB" w:rsidRPr="00652294" w:rsidRDefault="001F11EB" w:rsidP="001F11EB">
    <w:pPr>
      <w:tabs>
        <w:tab w:val="left" w:pos="993"/>
      </w:tabs>
      <w:ind w:left="1134"/>
      <w:jc w:val="center"/>
      <w:rPr>
        <w:b/>
        <w:bCs/>
        <w:i/>
        <w:iCs/>
        <w:color w:val="000000"/>
        <w:sz w:val="20"/>
        <w:szCs w:val="20"/>
      </w:rPr>
    </w:pPr>
    <w:r w:rsidRPr="00652294">
      <w:rPr>
        <w:rFonts w:eastAsia="Batang"/>
        <w:sz w:val="20"/>
        <w:szCs w:val="20"/>
      </w:rPr>
      <w:t>E-mail</w:t>
    </w:r>
    <w:r w:rsidRPr="00652294">
      <w:rPr>
        <w:rFonts w:eastAsia="Batang"/>
        <w:color w:val="0000FF"/>
        <w:sz w:val="20"/>
        <w:szCs w:val="20"/>
      </w:rPr>
      <w:t xml:space="preserve">: </w:t>
    </w:r>
    <w:r w:rsidRPr="00652294">
      <w:rPr>
        <w:rFonts w:eastAsia="Batang"/>
        <w:b/>
        <w:bCs/>
        <w:i/>
        <w:iCs/>
        <w:color w:val="0000FF"/>
        <w:sz w:val="20"/>
        <w:szCs w:val="20"/>
      </w:rPr>
      <w:t xml:space="preserve"> </w:t>
    </w:r>
    <w:hyperlink r:id="rId3" w:history="1">
      <w:r w:rsidRPr="00652294">
        <w:rPr>
          <w:rStyle w:val="Hyperlink"/>
          <w:rFonts w:eastAsia="Batang"/>
          <w:b/>
          <w:bCs/>
          <w:i/>
          <w:iCs/>
          <w:sz w:val="20"/>
          <w:szCs w:val="20"/>
        </w:rPr>
        <w:t>ceas.secias@ac.gov.br</w:t>
      </w:r>
    </w:hyperlink>
  </w:p>
  <w:p w:rsidR="00C73A7D" w:rsidRPr="00652294" w:rsidRDefault="00F3196F" w:rsidP="00B36FCE">
    <w:pPr>
      <w:tabs>
        <w:tab w:val="left" w:pos="1540"/>
      </w:tabs>
      <w:jc w:val="center"/>
      <w:rPr>
        <w:b/>
        <w:bCs/>
        <w:i/>
        <w:iCs/>
        <w:sz w:val="20"/>
        <w:szCs w:val="20"/>
      </w:rPr>
    </w:pPr>
    <w:r w:rsidRPr="00652294">
      <w:rPr>
        <w:b/>
        <w:bCs/>
        <w:i/>
        <w:iCs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57785</wp:posOffset>
              </wp:positionV>
              <wp:extent cx="5600700" cy="0"/>
              <wp:effectExtent l="19050" t="19685" r="19050" b="18415"/>
              <wp:wrapNone/>
              <wp:docPr id="1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600700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EEE8BC" id="Line 2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4.55pt" to="441pt,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" strokeweight="2.25pt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1FBF" w:rsidRDefault="002D1FB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C3D3E"/>
    <w:multiLevelType w:val="hybridMultilevel"/>
    <w:tmpl w:val="6708F360"/>
    <w:lvl w:ilvl="0" w:tplc="0416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" w15:restartNumberingAfterBreak="0">
    <w:nsid w:val="22E14AD6"/>
    <w:multiLevelType w:val="hybridMultilevel"/>
    <w:tmpl w:val="76981ECC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4368281A"/>
    <w:multiLevelType w:val="multilevel"/>
    <w:tmpl w:val="59AE00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59125F"/>
    <w:multiLevelType w:val="hybridMultilevel"/>
    <w:tmpl w:val="E0F23BD6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755F11C9"/>
    <w:multiLevelType w:val="hybridMultilevel"/>
    <w:tmpl w:val="0186C2C4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5" w15:restartNumberingAfterBreak="0">
    <w:nsid w:val="79E80D69"/>
    <w:multiLevelType w:val="hybridMultilevel"/>
    <w:tmpl w:val="1AB026F6"/>
    <w:lvl w:ilvl="0" w:tplc="0416000D">
      <w:start w:val="1"/>
      <w:numFmt w:val="bullet"/>
      <w:lvlText w:val=""/>
      <w:lvlJc w:val="left"/>
      <w:pPr>
        <w:ind w:left="7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6" w15:restartNumberingAfterBreak="0">
    <w:nsid w:val="7F890DB2"/>
    <w:multiLevelType w:val="hybridMultilevel"/>
    <w:tmpl w:val="487C28EA"/>
    <w:lvl w:ilvl="0" w:tplc="041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FCE"/>
    <w:rsid w:val="00007DF1"/>
    <w:rsid w:val="00013BD7"/>
    <w:rsid w:val="0002020E"/>
    <w:rsid w:val="000366D1"/>
    <w:rsid w:val="000451FA"/>
    <w:rsid w:val="00052F4F"/>
    <w:rsid w:val="00064A8D"/>
    <w:rsid w:val="00065068"/>
    <w:rsid w:val="000710BB"/>
    <w:rsid w:val="00071EB6"/>
    <w:rsid w:val="00075B0A"/>
    <w:rsid w:val="000769A7"/>
    <w:rsid w:val="00082AF8"/>
    <w:rsid w:val="000852F4"/>
    <w:rsid w:val="00092D3F"/>
    <w:rsid w:val="000A27E4"/>
    <w:rsid w:val="000A3225"/>
    <w:rsid w:val="000A4121"/>
    <w:rsid w:val="000B4D20"/>
    <w:rsid w:val="000B6C34"/>
    <w:rsid w:val="000B7C7E"/>
    <w:rsid w:val="000C14F8"/>
    <w:rsid w:val="000C2344"/>
    <w:rsid w:val="000E1AC1"/>
    <w:rsid w:val="000F5E45"/>
    <w:rsid w:val="000F680B"/>
    <w:rsid w:val="000F7C0B"/>
    <w:rsid w:val="001020C7"/>
    <w:rsid w:val="00103BEA"/>
    <w:rsid w:val="00113C46"/>
    <w:rsid w:val="00120FC7"/>
    <w:rsid w:val="00122159"/>
    <w:rsid w:val="001263D0"/>
    <w:rsid w:val="00133839"/>
    <w:rsid w:val="00134300"/>
    <w:rsid w:val="00134D0D"/>
    <w:rsid w:val="001361FD"/>
    <w:rsid w:val="00136880"/>
    <w:rsid w:val="001404FD"/>
    <w:rsid w:val="00145F6A"/>
    <w:rsid w:val="00153101"/>
    <w:rsid w:val="00155A53"/>
    <w:rsid w:val="001572B3"/>
    <w:rsid w:val="001616EC"/>
    <w:rsid w:val="00166310"/>
    <w:rsid w:val="0017728D"/>
    <w:rsid w:val="00181D5D"/>
    <w:rsid w:val="001950B8"/>
    <w:rsid w:val="00197390"/>
    <w:rsid w:val="001A1664"/>
    <w:rsid w:val="001B3EF6"/>
    <w:rsid w:val="001E6ADB"/>
    <w:rsid w:val="001F072A"/>
    <w:rsid w:val="001F11EB"/>
    <w:rsid w:val="001F2E87"/>
    <w:rsid w:val="001F75EB"/>
    <w:rsid w:val="002004F4"/>
    <w:rsid w:val="0020620B"/>
    <w:rsid w:val="00210B12"/>
    <w:rsid w:val="00212A85"/>
    <w:rsid w:val="00214355"/>
    <w:rsid w:val="00217D0C"/>
    <w:rsid w:val="0022111E"/>
    <w:rsid w:val="002271EF"/>
    <w:rsid w:val="00230019"/>
    <w:rsid w:val="0023083C"/>
    <w:rsid w:val="0023482B"/>
    <w:rsid w:val="00241B5B"/>
    <w:rsid w:val="0024430B"/>
    <w:rsid w:val="002444B3"/>
    <w:rsid w:val="00253F5A"/>
    <w:rsid w:val="00257F9B"/>
    <w:rsid w:val="00261503"/>
    <w:rsid w:val="00267E46"/>
    <w:rsid w:val="002838AB"/>
    <w:rsid w:val="002872D2"/>
    <w:rsid w:val="0028733A"/>
    <w:rsid w:val="00290E8E"/>
    <w:rsid w:val="00297874"/>
    <w:rsid w:val="002B147B"/>
    <w:rsid w:val="002B27ED"/>
    <w:rsid w:val="002B4023"/>
    <w:rsid w:val="002B5036"/>
    <w:rsid w:val="002C1E31"/>
    <w:rsid w:val="002C3C3E"/>
    <w:rsid w:val="002C550D"/>
    <w:rsid w:val="002D158D"/>
    <w:rsid w:val="002D1FBF"/>
    <w:rsid w:val="002E261C"/>
    <w:rsid w:val="002F046E"/>
    <w:rsid w:val="003473A9"/>
    <w:rsid w:val="00366CDC"/>
    <w:rsid w:val="003706F6"/>
    <w:rsid w:val="00373732"/>
    <w:rsid w:val="00377EFA"/>
    <w:rsid w:val="0038001D"/>
    <w:rsid w:val="00387340"/>
    <w:rsid w:val="00387662"/>
    <w:rsid w:val="003955F9"/>
    <w:rsid w:val="0039689F"/>
    <w:rsid w:val="003A0C43"/>
    <w:rsid w:val="003A51EB"/>
    <w:rsid w:val="003B6788"/>
    <w:rsid w:val="003B77D3"/>
    <w:rsid w:val="003C1303"/>
    <w:rsid w:val="003C49B9"/>
    <w:rsid w:val="003D38D6"/>
    <w:rsid w:val="003D394C"/>
    <w:rsid w:val="003D4516"/>
    <w:rsid w:val="003D5BF9"/>
    <w:rsid w:val="003F3C94"/>
    <w:rsid w:val="00400088"/>
    <w:rsid w:val="0040329E"/>
    <w:rsid w:val="00403575"/>
    <w:rsid w:val="00405CD4"/>
    <w:rsid w:val="0041421C"/>
    <w:rsid w:val="00420411"/>
    <w:rsid w:val="0042487F"/>
    <w:rsid w:val="00424B89"/>
    <w:rsid w:val="00434D04"/>
    <w:rsid w:val="00445620"/>
    <w:rsid w:val="00445DCC"/>
    <w:rsid w:val="00454B46"/>
    <w:rsid w:val="004605E6"/>
    <w:rsid w:val="00460EE3"/>
    <w:rsid w:val="00461083"/>
    <w:rsid w:val="00461DDC"/>
    <w:rsid w:val="0046791F"/>
    <w:rsid w:val="00476345"/>
    <w:rsid w:val="00482132"/>
    <w:rsid w:val="004831E3"/>
    <w:rsid w:val="00490CEB"/>
    <w:rsid w:val="0049442B"/>
    <w:rsid w:val="004A5630"/>
    <w:rsid w:val="004B30F3"/>
    <w:rsid w:val="004B5C94"/>
    <w:rsid w:val="004C31DA"/>
    <w:rsid w:val="004D340C"/>
    <w:rsid w:val="004E12CB"/>
    <w:rsid w:val="004F7C71"/>
    <w:rsid w:val="005042E6"/>
    <w:rsid w:val="00516C94"/>
    <w:rsid w:val="00520138"/>
    <w:rsid w:val="0052106E"/>
    <w:rsid w:val="0052200F"/>
    <w:rsid w:val="00532B2B"/>
    <w:rsid w:val="0054221B"/>
    <w:rsid w:val="00543E80"/>
    <w:rsid w:val="00544C8D"/>
    <w:rsid w:val="0054549C"/>
    <w:rsid w:val="00555077"/>
    <w:rsid w:val="00564EB4"/>
    <w:rsid w:val="00565591"/>
    <w:rsid w:val="00571609"/>
    <w:rsid w:val="00587903"/>
    <w:rsid w:val="00590CD5"/>
    <w:rsid w:val="00596305"/>
    <w:rsid w:val="00596989"/>
    <w:rsid w:val="005A7FCC"/>
    <w:rsid w:val="005B0531"/>
    <w:rsid w:val="005C0BEB"/>
    <w:rsid w:val="005C338C"/>
    <w:rsid w:val="005C402A"/>
    <w:rsid w:val="005D3FFF"/>
    <w:rsid w:val="005D6B25"/>
    <w:rsid w:val="005F3E24"/>
    <w:rsid w:val="005F7308"/>
    <w:rsid w:val="00601078"/>
    <w:rsid w:val="006023C9"/>
    <w:rsid w:val="00616CA0"/>
    <w:rsid w:val="006170FB"/>
    <w:rsid w:val="00621A8C"/>
    <w:rsid w:val="00635828"/>
    <w:rsid w:val="0064229A"/>
    <w:rsid w:val="00652294"/>
    <w:rsid w:val="0065379F"/>
    <w:rsid w:val="00654B51"/>
    <w:rsid w:val="00661138"/>
    <w:rsid w:val="00666FCA"/>
    <w:rsid w:val="0066767F"/>
    <w:rsid w:val="006718CF"/>
    <w:rsid w:val="00671AC6"/>
    <w:rsid w:val="00673BE1"/>
    <w:rsid w:val="00674E56"/>
    <w:rsid w:val="00680D93"/>
    <w:rsid w:val="00687D0F"/>
    <w:rsid w:val="006900E2"/>
    <w:rsid w:val="006910D3"/>
    <w:rsid w:val="00692C3E"/>
    <w:rsid w:val="00692DD4"/>
    <w:rsid w:val="0069772C"/>
    <w:rsid w:val="006A20D5"/>
    <w:rsid w:val="006B5818"/>
    <w:rsid w:val="006B60C0"/>
    <w:rsid w:val="006C195B"/>
    <w:rsid w:val="006C7DA2"/>
    <w:rsid w:val="006F20DB"/>
    <w:rsid w:val="006F4E37"/>
    <w:rsid w:val="006F7889"/>
    <w:rsid w:val="0070050A"/>
    <w:rsid w:val="00706A3A"/>
    <w:rsid w:val="00722919"/>
    <w:rsid w:val="00731155"/>
    <w:rsid w:val="00731731"/>
    <w:rsid w:val="00734A75"/>
    <w:rsid w:val="00737AFC"/>
    <w:rsid w:val="00740B15"/>
    <w:rsid w:val="00741AF1"/>
    <w:rsid w:val="0074219E"/>
    <w:rsid w:val="007452DB"/>
    <w:rsid w:val="0075570A"/>
    <w:rsid w:val="00761D3D"/>
    <w:rsid w:val="0076680F"/>
    <w:rsid w:val="007809C5"/>
    <w:rsid w:val="00783C03"/>
    <w:rsid w:val="00787F35"/>
    <w:rsid w:val="007901EB"/>
    <w:rsid w:val="00791CB0"/>
    <w:rsid w:val="00797262"/>
    <w:rsid w:val="007A5AE2"/>
    <w:rsid w:val="007B0EB1"/>
    <w:rsid w:val="007B39F5"/>
    <w:rsid w:val="007B5454"/>
    <w:rsid w:val="007C57CC"/>
    <w:rsid w:val="007C5CA7"/>
    <w:rsid w:val="007D1DFF"/>
    <w:rsid w:val="007D7E86"/>
    <w:rsid w:val="007E021D"/>
    <w:rsid w:val="007F094F"/>
    <w:rsid w:val="0080139E"/>
    <w:rsid w:val="008022C2"/>
    <w:rsid w:val="0080756F"/>
    <w:rsid w:val="00824C8E"/>
    <w:rsid w:val="00825C68"/>
    <w:rsid w:val="00831E8F"/>
    <w:rsid w:val="00834238"/>
    <w:rsid w:val="00836306"/>
    <w:rsid w:val="00836478"/>
    <w:rsid w:val="00854BEC"/>
    <w:rsid w:val="00856399"/>
    <w:rsid w:val="00857AC9"/>
    <w:rsid w:val="008639A7"/>
    <w:rsid w:val="00871C56"/>
    <w:rsid w:val="0087524A"/>
    <w:rsid w:val="00882801"/>
    <w:rsid w:val="0089222F"/>
    <w:rsid w:val="0089456B"/>
    <w:rsid w:val="008960D8"/>
    <w:rsid w:val="008A0807"/>
    <w:rsid w:val="008B0A9C"/>
    <w:rsid w:val="008B4366"/>
    <w:rsid w:val="008C5118"/>
    <w:rsid w:val="008C54A7"/>
    <w:rsid w:val="008D4243"/>
    <w:rsid w:val="008E0F85"/>
    <w:rsid w:val="008E1BD5"/>
    <w:rsid w:val="0090653B"/>
    <w:rsid w:val="00906C05"/>
    <w:rsid w:val="0090793D"/>
    <w:rsid w:val="00914001"/>
    <w:rsid w:val="00920552"/>
    <w:rsid w:val="0093021A"/>
    <w:rsid w:val="0093157A"/>
    <w:rsid w:val="00944E19"/>
    <w:rsid w:val="00950289"/>
    <w:rsid w:val="00950E4E"/>
    <w:rsid w:val="0095527E"/>
    <w:rsid w:val="00960CFB"/>
    <w:rsid w:val="00971278"/>
    <w:rsid w:val="00981BEC"/>
    <w:rsid w:val="009855EF"/>
    <w:rsid w:val="009A3A99"/>
    <w:rsid w:val="009C494A"/>
    <w:rsid w:val="009C5403"/>
    <w:rsid w:val="009D0DB1"/>
    <w:rsid w:val="009D3309"/>
    <w:rsid w:val="009D479B"/>
    <w:rsid w:val="009E5DCC"/>
    <w:rsid w:val="009E5EF6"/>
    <w:rsid w:val="009E6874"/>
    <w:rsid w:val="009F4DC8"/>
    <w:rsid w:val="00A12AE0"/>
    <w:rsid w:val="00A3062B"/>
    <w:rsid w:val="00A416B8"/>
    <w:rsid w:val="00A41E76"/>
    <w:rsid w:val="00A4346B"/>
    <w:rsid w:val="00A461DA"/>
    <w:rsid w:val="00A4693F"/>
    <w:rsid w:val="00A50C3E"/>
    <w:rsid w:val="00A52E95"/>
    <w:rsid w:val="00A55872"/>
    <w:rsid w:val="00A56904"/>
    <w:rsid w:val="00A57047"/>
    <w:rsid w:val="00A639CA"/>
    <w:rsid w:val="00A75126"/>
    <w:rsid w:val="00A751A0"/>
    <w:rsid w:val="00A76C5A"/>
    <w:rsid w:val="00A807E5"/>
    <w:rsid w:val="00AA26EF"/>
    <w:rsid w:val="00AA3B5A"/>
    <w:rsid w:val="00AA3E9E"/>
    <w:rsid w:val="00AA59FF"/>
    <w:rsid w:val="00AB6806"/>
    <w:rsid w:val="00AC3882"/>
    <w:rsid w:val="00AD5CBE"/>
    <w:rsid w:val="00AE2F86"/>
    <w:rsid w:val="00B02808"/>
    <w:rsid w:val="00B078F3"/>
    <w:rsid w:val="00B16132"/>
    <w:rsid w:val="00B17CAD"/>
    <w:rsid w:val="00B22BB4"/>
    <w:rsid w:val="00B34CAA"/>
    <w:rsid w:val="00B36FCE"/>
    <w:rsid w:val="00B512B7"/>
    <w:rsid w:val="00B56337"/>
    <w:rsid w:val="00B56805"/>
    <w:rsid w:val="00B6246F"/>
    <w:rsid w:val="00B73336"/>
    <w:rsid w:val="00B74230"/>
    <w:rsid w:val="00B75190"/>
    <w:rsid w:val="00B81125"/>
    <w:rsid w:val="00B8719A"/>
    <w:rsid w:val="00B92392"/>
    <w:rsid w:val="00BA1C02"/>
    <w:rsid w:val="00BA1D0F"/>
    <w:rsid w:val="00BA66F7"/>
    <w:rsid w:val="00BC624D"/>
    <w:rsid w:val="00BC6EFC"/>
    <w:rsid w:val="00BE040E"/>
    <w:rsid w:val="00BE06CA"/>
    <w:rsid w:val="00BE68B9"/>
    <w:rsid w:val="00BF32FF"/>
    <w:rsid w:val="00BF66EB"/>
    <w:rsid w:val="00C0040C"/>
    <w:rsid w:val="00C115F0"/>
    <w:rsid w:val="00C11D08"/>
    <w:rsid w:val="00C137BE"/>
    <w:rsid w:val="00C1464D"/>
    <w:rsid w:val="00C159CF"/>
    <w:rsid w:val="00C178AE"/>
    <w:rsid w:val="00C243F3"/>
    <w:rsid w:val="00C25552"/>
    <w:rsid w:val="00C30679"/>
    <w:rsid w:val="00C3073D"/>
    <w:rsid w:val="00C32EBE"/>
    <w:rsid w:val="00C34AD0"/>
    <w:rsid w:val="00C3578F"/>
    <w:rsid w:val="00C35DEF"/>
    <w:rsid w:val="00C45477"/>
    <w:rsid w:val="00C47201"/>
    <w:rsid w:val="00C47451"/>
    <w:rsid w:val="00C611A5"/>
    <w:rsid w:val="00C720F8"/>
    <w:rsid w:val="00C73A7D"/>
    <w:rsid w:val="00C8213D"/>
    <w:rsid w:val="00C844CD"/>
    <w:rsid w:val="00C87427"/>
    <w:rsid w:val="00CA08A7"/>
    <w:rsid w:val="00CA34F5"/>
    <w:rsid w:val="00CA56A1"/>
    <w:rsid w:val="00CB0A9B"/>
    <w:rsid w:val="00CC4327"/>
    <w:rsid w:val="00CC5066"/>
    <w:rsid w:val="00CD60AB"/>
    <w:rsid w:val="00CD714A"/>
    <w:rsid w:val="00CE0E77"/>
    <w:rsid w:val="00CE13A1"/>
    <w:rsid w:val="00CE1EC3"/>
    <w:rsid w:val="00D007BC"/>
    <w:rsid w:val="00D23E7B"/>
    <w:rsid w:val="00D244DA"/>
    <w:rsid w:val="00D336BD"/>
    <w:rsid w:val="00D45F1A"/>
    <w:rsid w:val="00D46BB2"/>
    <w:rsid w:val="00D53E7E"/>
    <w:rsid w:val="00D54F23"/>
    <w:rsid w:val="00D63661"/>
    <w:rsid w:val="00D65949"/>
    <w:rsid w:val="00D92D12"/>
    <w:rsid w:val="00D96F5B"/>
    <w:rsid w:val="00D97179"/>
    <w:rsid w:val="00DA2681"/>
    <w:rsid w:val="00DB1566"/>
    <w:rsid w:val="00DB21AD"/>
    <w:rsid w:val="00DC3D02"/>
    <w:rsid w:val="00DC4045"/>
    <w:rsid w:val="00DC6A87"/>
    <w:rsid w:val="00DD31BB"/>
    <w:rsid w:val="00DD6D44"/>
    <w:rsid w:val="00DE43C8"/>
    <w:rsid w:val="00DE5C5C"/>
    <w:rsid w:val="00DE5EDC"/>
    <w:rsid w:val="00DE6972"/>
    <w:rsid w:val="00DF7EE0"/>
    <w:rsid w:val="00E071A6"/>
    <w:rsid w:val="00E137EF"/>
    <w:rsid w:val="00E207B4"/>
    <w:rsid w:val="00E20E92"/>
    <w:rsid w:val="00E27627"/>
    <w:rsid w:val="00E27662"/>
    <w:rsid w:val="00E303BF"/>
    <w:rsid w:val="00E30A89"/>
    <w:rsid w:val="00E44142"/>
    <w:rsid w:val="00E52216"/>
    <w:rsid w:val="00E605A2"/>
    <w:rsid w:val="00E6500F"/>
    <w:rsid w:val="00E75F44"/>
    <w:rsid w:val="00E77D0D"/>
    <w:rsid w:val="00E82BC3"/>
    <w:rsid w:val="00E908AA"/>
    <w:rsid w:val="00E91242"/>
    <w:rsid w:val="00E92DA5"/>
    <w:rsid w:val="00EA0316"/>
    <w:rsid w:val="00EA0331"/>
    <w:rsid w:val="00EA1C20"/>
    <w:rsid w:val="00EA52EC"/>
    <w:rsid w:val="00EA5D33"/>
    <w:rsid w:val="00EA78B7"/>
    <w:rsid w:val="00EC2278"/>
    <w:rsid w:val="00EC7EFD"/>
    <w:rsid w:val="00ED0D35"/>
    <w:rsid w:val="00EE06B9"/>
    <w:rsid w:val="00EE0E31"/>
    <w:rsid w:val="00EE499F"/>
    <w:rsid w:val="00EF58A7"/>
    <w:rsid w:val="00F008B1"/>
    <w:rsid w:val="00F00D72"/>
    <w:rsid w:val="00F022CA"/>
    <w:rsid w:val="00F13CF2"/>
    <w:rsid w:val="00F15EB2"/>
    <w:rsid w:val="00F1678E"/>
    <w:rsid w:val="00F2104E"/>
    <w:rsid w:val="00F24CB0"/>
    <w:rsid w:val="00F25B76"/>
    <w:rsid w:val="00F3196F"/>
    <w:rsid w:val="00F43E8B"/>
    <w:rsid w:val="00F5123E"/>
    <w:rsid w:val="00F64434"/>
    <w:rsid w:val="00F77C13"/>
    <w:rsid w:val="00F8574E"/>
    <w:rsid w:val="00F85C2C"/>
    <w:rsid w:val="00F90979"/>
    <w:rsid w:val="00F9255A"/>
    <w:rsid w:val="00F9493F"/>
    <w:rsid w:val="00F97E0B"/>
    <w:rsid w:val="00FA4125"/>
    <w:rsid w:val="00FB2294"/>
    <w:rsid w:val="00FB3FA9"/>
    <w:rsid w:val="00FB6B41"/>
    <w:rsid w:val="00FB73B1"/>
    <w:rsid w:val="00FC3ADF"/>
    <w:rsid w:val="00FC5EDE"/>
    <w:rsid w:val="00FF1F61"/>
    <w:rsid w:val="00FF23A2"/>
    <w:rsid w:val="00FF2C51"/>
    <w:rsid w:val="00FF52B3"/>
    <w:rsid w:val="00FF6A99"/>
    <w:rsid w:val="00FF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22A2CF2-C527-40CE-9BA0-02C11E3F3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7EE0"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52F4F"/>
    <w:pPr>
      <w:keepNext/>
      <w:ind w:left="-187"/>
      <w:jc w:val="center"/>
      <w:outlineLvl w:val="2"/>
    </w:pPr>
    <w:rPr>
      <w:rFonts w:ascii="Arial" w:hAnsi="Arial"/>
      <w:b/>
      <w:lang w:val="x-none" w:eastAsia="x-none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  <w:style w:type="table" w:styleId="Tabelacomgrade">
    <w:name w:val="Table Grid"/>
    <w:basedOn w:val="Tabelanormal"/>
    <w:rsid w:val="006B58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grafodaLista">
    <w:name w:val="List Paragraph"/>
    <w:basedOn w:val="Normal"/>
    <w:uiPriority w:val="34"/>
    <w:qFormat/>
    <w:rsid w:val="00EE06B9"/>
    <w:pPr>
      <w:ind w:left="708"/>
    </w:pPr>
  </w:style>
  <w:style w:type="character" w:customStyle="1" w:styleId="Ttulo3Char">
    <w:name w:val="Título 3 Char"/>
    <w:link w:val="Ttulo3"/>
    <w:rsid w:val="00052F4F"/>
    <w:rPr>
      <w:rFonts w:ascii="Arial" w:hAnsi="Arial" w:cs="Arial"/>
      <w:b/>
      <w:sz w:val="24"/>
      <w:szCs w:val="24"/>
    </w:rPr>
  </w:style>
  <w:style w:type="character" w:styleId="nfase">
    <w:name w:val="Emphasis"/>
    <w:qFormat/>
    <w:rsid w:val="006A20D5"/>
    <w:rPr>
      <w:i/>
      <w:iCs/>
    </w:rPr>
  </w:style>
  <w:style w:type="paragraph" w:styleId="Textodebalo">
    <w:name w:val="Balloon Text"/>
    <w:basedOn w:val="Normal"/>
    <w:link w:val="TextodebaloChar"/>
    <w:rsid w:val="00AC3882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AC3882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31155"/>
    <w:pPr>
      <w:ind w:firstLine="1980"/>
      <w:jc w:val="both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731155"/>
  </w:style>
  <w:style w:type="character" w:customStyle="1" w:styleId="CabealhoChar">
    <w:name w:val="Cabeçalho Char"/>
    <w:link w:val="Cabealho"/>
    <w:rsid w:val="00A416B8"/>
    <w:rPr>
      <w:sz w:val="24"/>
      <w:szCs w:val="24"/>
    </w:rPr>
  </w:style>
  <w:style w:type="paragraph" w:customStyle="1" w:styleId="parag2">
    <w:name w:val="parag2"/>
    <w:basedOn w:val="Normal"/>
    <w:rsid w:val="00AA3E9E"/>
    <w:pPr>
      <w:spacing w:before="100" w:beforeAutospacing="1" w:after="100" w:afterAutospacing="1"/>
    </w:pPr>
  </w:style>
  <w:style w:type="paragraph" w:customStyle="1" w:styleId="Default">
    <w:name w:val="Default"/>
    <w:rsid w:val="00D007BC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Forte">
    <w:name w:val="Strong"/>
    <w:uiPriority w:val="22"/>
    <w:qFormat/>
    <w:rsid w:val="00EC7EFD"/>
    <w:rPr>
      <w:b/>
      <w:bCs/>
    </w:rPr>
  </w:style>
  <w:style w:type="table" w:styleId="Tabelacontempornea">
    <w:name w:val="Table Contemporary"/>
    <w:basedOn w:val="Tabelanormal"/>
    <w:rsid w:val="00A639CA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tabelatextocentralizado">
    <w:name w:val="tabela_texto_centralizado"/>
    <w:basedOn w:val="Normal"/>
    <w:rsid w:val="00460EE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60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7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mailto:ceas.secias@ac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30437A-9880-49FC-B529-EDD01F9CA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RESOLUÇÃO Nº 003/2005 DE 17 DE MARÇO DE 2005</vt:lpstr>
    </vt:vector>
  </TitlesOfParts>
  <Company/>
  <LinksUpToDate>false</LinksUpToDate>
  <CharactersWithSpaces>1827</CharactersWithSpaces>
  <SharedDoc>false</SharedDoc>
  <HLinks>
    <vt:vector size="6" baseType="variant">
      <vt:variant>
        <vt:i4>5046397</vt:i4>
      </vt:variant>
      <vt:variant>
        <vt:i4>3</vt:i4>
      </vt:variant>
      <vt:variant>
        <vt:i4>0</vt:i4>
      </vt:variant>
      <vt:variant>
        <vt:i4>5</vt:i4>
      </vt:variant>
      <vt:variant>
        <vt:lpwstr>mailto:ceas.secias@ac.gov.br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RESOLUÇÃO Nº 003/2005 DE 17 DE MARÇO DE 2005</dc:title>
  <dc:subject/>
  <dc:creator>CEAS</dc:creator>
  <cp:keywords/>
  <cp:lastModifiedBy>railton</cp:lastModifiedBy>
  <cp:revision>2</cp:revision>
  <cp:lastPrinted>2024-03-13T17:51:00Z</cp:lastPrinted>
  <dcterms:created xsi:type="dcterms:W3CDTF">2025-09-17T15:33:00Z</dcterms:created>
  <dcterms:modified xsi:type="dcterms:W3CDTF">2025-09-17T15:33:00Z</dcterms:modified>
</cp:coreProperties>
</file>