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5F" w:rsidRPr="004E0F5F" w:rsidRDefault="004E0F5F" w:rsidP="004E0F5F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052F4F" w:rsidRPr="004E0F5F" w:rsidRDefault="00052F4F" w:rsidP="004E0F5F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  <w:r w:rsidRPr="004E0F5F">
        <w:rPr>
          <w:rFonts w:ascii="Arial" w:hAnsi="Arial" w:cs="Arial"/>
          <w:b/>
          <w:bCs/>
          <w:iCs/>
        </w:rPr>
        <w:t>RESOLUÇÃO Nº</w:t>
      </w:r>
      <w:r w:rsidR="00353CBC" w:rsidRPr="004E0F5F">
        <w:rPr>
          <w:rFonts w:ascii="Arial" w:hAnsi="Arial" w:cs="Arial"/>
          <w:b/>
          <w:bCs/>
          <w:iCs/>
        </w:rPr>
        <w:t xml:space="preserve"> </w:t>
      </w:r>
      <w:r w:rsidR="00DF5F23" w:rsidRPr="004E0F5F">
        <w:rPr>
          <w:rFonts w:ascii="Arial" w:hAnsi="Arial" w:cs="Arial"/>
          <w:b/>
          <w:bCs/>
          <w:iCs/>
        </w:rPr>
        <w:t>30</w:t>
      </w:r>
      <w:r w:rsidR="009F5AAF" w:rsidRPr="004E0F5F">
        <w:rPr>
          <w:rFonts w:ascii="Arial" w:hAnsi="Arial" w:cs="Arial"/>
          <w:b/>
          <w:bCs/>
          <w:iCs/>
        </w:rPr>
        <w:t xml:space="preserve">, DE </w:t>
      </w:r>
      <w:r w:rsidR="00CC3E25" w:rsidRPr="004E0F5F">
        <w:rPr>
          <w:rFonts w:ascii="Arial" w:hAnsi="Arial" w:cs="Arial"/>
          <w:b/>
          <w:bCs/>
          <w:iCs/>
        </w:rPr>
        <w:t>2</w:t>
      </w:r>
      <w:r w:rsidR="004E130E" w:rsidRPr="004E0F5F">
        <w:rPr>
          <w:rFonts w:ascii="Arial" w:hAnsi="Arial" w:cs="Arial"/>
          <w:b/>
          <w:bCs/>
          <w:iCs/>
        </w:rPr>
        <w:t>6</w:t>
      </w:r>
      <w:r w:rsidR="009F5AAF" w:rsidRPr="004E0F5F">
        <w:rPr>
          <w:rFonts w:ascii="Arial" w:hAnsi="Arial" w:cs="Arial"/>
          <w:b/>
          <w:bCs/>
          <w:iCs/>
        </w:rPr>
        <w:t xml:space="preserve"> DE </w:t>
      </w:r>
      <w:r w:rsidR="004E130E" w:rsidRPr="004E0F5F">
        <w:rPr>
          <w:rFonts w:ascii="Arial" w:hAnsi="Arial" w:cs="Arial"/>
          <w:b/>
          <w:bCs/>
          <w:iCs/>
        </w:rPr>
        <w:t>JUNHO</w:t>
      </w:r>
      <w:r w:rsidR="00B151B9" w:rsidRPr="004E0F5F">
        <w:rPr>
          <w:rFonts w:ascii="Arial" w:hAnsi="Arial" w:cs="Arial"/>
          <w:b/>
          <w:bCs/>
          <w:iCs/>
        </w:rPr>
        <w:t xml:space="preserve"> </w:t>
      </w:r>
      <w:r w:rsidRPr="004E0F5F">
        <w:rPr>
          <w:rFonts w:ascii="Arial" w:hAnsi="Arial" w:cs="Arial"/>
          <w:b/>
          <w:bCs/>
          <w:iCs/>
        </w:rPr>
        <w:t xml:space="preserve"> 20</w:t>
      </w:r>
      <w:r w:rsidR="00AC6CF3" w:rsidRPr="004E0F5F">
        <w:rPr>
          <w:rFonts w:ascii="Arial" w:hAnsi="Arial" w:cs="Arial"/>
          <w:b/>
          <w:bCs/>
          <w:iCs/>
        </w:rPr>
        <w:t>2</w:t>
      </w:r>
      <w:r w:rsidR="00B0272A" w:rsidRPr="004E0F5F">
        <w:rPr>
          <w:rFonts w:ascii="Arial" w:hAnsi="Arial" w:cs="Arial"/>
          <w:b/>
          <w:bCs/>
          <w:iCs/>
        </w:rPr>
        <w:t>5</w:t>
      </w:r>
      <w:r w:rsidRPr="004E0F5F">
        <w:rPr>
          <w:rFonts w:ascii="Arial" w:hAnsi="Arial" w:cs="Arial"/>
          <w:b/>
          <w:bCs/>
          <w:iCs/>
        </w:rPr>
        <w:t>.</w:t>
      </w:r>
    </w:p>
    <w:p w:rsidR="004E0F5F" w:rsidRPr="004E0F5F" w:rsidRDefault="004E0F5F" w:rsidP="004E0F5F">
      <w:pPr>
        <w:spacing w:line="360" w:lineRule="auto"/>
        <w:ind w:right="37"/>
        <w:jc w:val="center"/>
        <w:rPr>
          <w:rFonts w:ascii="Arial" w:hAnsi="Arial" w:cs="Arial"/>
          <w:b/>
          <w:bCs/>
          <w:iCs/>
        </w:rPr>
      </w:pPr>
    </w:p>
    <w:p w:rsidR="00103870" w:rsidRPr="004E0F5F" w:rsidRDefault="00103870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  <w:b/>
        </w:rPr>
        <w:t>O CONSELHO ESTADUAL DE ASSISTÊNCIA SOCIAL - CEAS</w:t>
      </w:r>
      <w:r w:rsidRPr="004E0F5F">
        <w:rPr>
          <w:rFonts w:ascii="Arial" w:hAnsi="Arial" w:cs="Arial"/>
        </w:rPr>
        <w:t xml:space="preserve">, </w:t>
      </w:r>
      <w:r w:rsidR="00D8526F" w:rsidRPr="004E0F5F">
        <w:rPr>
          <w:rFonts w:ascii="Arial" w:hAnsi="Arial" w:cs="Arial"/>
        </w:rPr>
        <w:t xml:space="preserve">em Reunião </w:t>
      </w:r>
      <w:r w:rsidR="00CC3E25" w:rsidRPr="004E0F5F">
        <w:rPr>
          <w:rFonts w:ascii="Arial" w:hAnsi="Arial" w:cs="Arial"/>
        </w:rPr>
        <w:t>O</w:t>
      </w:r>
      <w:r w:rsidRPr="004E0F5F">
        <w:rPr>
          <w:rFonts w:ascii="Arial" w:hAnsi="Arial" w:cs="Arial"/>
        </w:rPr>
        <w:t xml:space="preserve">rdinária realizada no dia </w:t>
      </w:r>
      <w:r w:rsidR="00CC3E25" w:rsidRPr="004E0F5F">
        <w:rPr>
          <w:rFonts w:ascii="Arial" w:hAnsi="Arial" w:cs="Arial"/>
        </w:rPr>
        <w:t>2</w:t>
      </w:r>
      <w:r w:rsidR="004E130E" w:rsidRPr="004E0F5F">
        <w:rPr>
          <w:rFonts w:ascii="Arial" w:hAnsi="Arial" w:cs="Arial"/>
        </w:rPr>
        <w:t>6</w:t>
      </w:r>
      <w:r w:rsidR="00542BA0" w:rsidRPr="004E0F5F">
        <w:rPr>
          <w:rFonts w:ascii="Arial" w:hAnsi="Arial" w:cs="Arial"/>
        </w:rPr>
        <w:t xml:space="preserve"> </w:t>
      </w:r>
      <w:r w:rsidRPr="004E0F5F">
        <w:rPr>
          <w:rFonts w:ascii="Arial" w:hAnsi="Arial" w:cs="Arial"/>
        </w:rPr>
        <w:t xml:space="preserve">de </w:t>
      </w:r>
      <w:r w:rsidR="00AB2AE2" w:rsidRPr="004E0F5F">
        <w:rPr>
          <w:rFonts w:ascii="Arial" w:hAnsi="Arial" w:cs="Arial"/>
        </w:rPr>
        <w:t>junho de</w:t>
      </w:r>
      <w:r w:rsidR="00542BA0" w:rsidRPr="004E0F5F">
        <w:rPr>
          <w:rFonts w:ascii="Arial" w:hAnsi="Arial" w:cs="Arial"/>
        </w:rPr>
        <w:t xml:space="preserve"> 202</w:t>
      </w:r>
      <w:r w:rsidR="00B0272A" w:rsidRPr="004E0F5F">
        <w:rPr>
          <w:rFonts w:ascii="Arial" w:hAnsi="Arial" w:cs="Arial"/>
        </w:rPr>
        <w:t>5</w:t>
      </w:r>
      <w:r w:rsidRPr="004E0F5F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4E0F5F" w:rsidRPr="004E0F5F" w:rsidRDefault="004E0F5F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</w:p>
    <w:p w:rsidR="00FD4F6F" w:rsidRPr="004E0F5F" w:rsidRDefault="003955A6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  <w:b/>
          <w:bCs/>
        </w:rPr>
        <w:t xml:space="preserve">Considerando </w:t>
      </w:r>
      <w:r w:rsidRPr="004E0F5F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4E0F5F" w:rsidRPr="004E0F5F" w:rsidRDefault="004E0F5F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</w:p>
    <w:p w:rsidR="00F0032A" w:rsidRPr="004E0F5F" w:rsidRDefault="00DF5F23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  <w:b/>
          <w:bCs/>
        </w:rPr>
        <w:t>Considerando</w:t>
      </w:r>
      <w:r w:rsidRPr="004E0F5F">
        <w:rPr>
          <w:rFonts w:ascii="Arial" w:hAnsi="Arial" w:cs="Arial"/>
        </w:rPr>
        <w:t xml:space="preserve"> a </w:t>
      </w:r>
      <w:bookmarkStart w:id="1" w:name="_Hlk202176660"/>
      <w:r w:rsidRPr="004E0F5F">
        <w:rPr>
          <w:rFonts w:ascii="Arial" w:hAnsi="Arial" w:cs="Arial"/>
          <w:bCs/>
          <w:color w:val="000000"/>
        </w:rPr>
        <w:t xml:space="preserve">Lei Nº 3.634/2020 (Lei do SUAS Estadual), em seu </w:t>
      </w:r>
      <w:r w:rsidRPr="004E0F5F">
        <w:rPr>
          <w:rFonts w:ascii="Arial" w:hAnsi="Arial" w:cs="Arial"/>
        </w:rPr>
        <w:t xml:space="preserve">Art. 61. Os recursos do FEAS-AC serão aplicados conforme: </w:t>
      </w:r>
    </w:p>
    <w:p w:rsidR="00DF5F23" w:rsidRPr="004E0F5F" w:rsidRDefault="00DF5F23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</w:rPr>
        <w:t>II - cofinanciamento da estrutura da rede socioassistencial do Estado e dos Municípios, incluindo ampliação e construção de equipamentos públicos, para aprimorar a capacidade instalada e fortalecer o SUAS;</w:t>
      </w:r>
    </w:p>
    <w:p w:rsidR="00DF5F23" w:rsidRPr="004E0F5F" w:rsidRDefault="00DF5F23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</w:rPr>
        <w:t>VI - parceria entre o poder público e entidades ou organizações de assistência social para a execução dos serviços, programas e projetos socioassistenciais específicos.</w:t>
      </w:r>
    </w:p>
    <w:p w:rsidR="004E0F5F" w:rsidRPr="004E0F5F" w:rsidRDefault="004E0F5F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</w:p>
    <w:p w:rsidR="00DF5F23" w:rsidRPr="004E0F5F" w:rsidRDefault="00DF5F23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</w:rPr>
        <w:t>Parágrafo único. Os critérios e definição de valores para o cofinanciamento de que trata o art. 61, incisos I e II, será normatizada em instrumento próprio a serem pactuada na CIB e deliberada pelo CEAS, em conformidade as normativas nacionais.</w:t>
      </w:r>
    </w:p>
    <w:p w:rsidR="004E0F5F" w:rsidRPr="004E0F5F" w:rsidRDefault="004E0F5F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</w:p>
    <w:bookmarkEnd w:id="1"/>
    <w:p w:rsidR="00413358" w:rsidRPr="004E0F5F" w:rsidRDefault="00FC5DB4" w:rsidP="004E0F5F">
      <w:pPr>
        <w:spacing w:line="360" w:lineRule="auto"/>
        <w:ind w:right="-142" w:firstLine="1276"/>
        <w:jc w:val="both"/>
        <w:rPr>
          <w:rFonts w:ascii="Arial" w:hAnsi="Arial" w:cs="Arial"/>
          <w:iCs/>
        </w:rPr>
      </w:pPr>
      <w:r w:rsidRPr="004E0F5F">
        <w:rPr>
          <w:rFonts w:ascii="Arial" w:hAnsi="Arial" w:cs="Arial"/>
          <w:b/>
          <w:bCs/>
          <w:iCs/>
        </w:rPr>
        <w:t xml:space="preserve">Considerando </w:t>
      </w:r>
      <w:r w:rsidR="00AC5D28" w:rsidRPr="004E0F5F">
        <w:rPr>
          <w:rFonts w:ascii="Arial" w:hAnsi="Arial" w:cs="Arial"/>
          <w:b/>
          <w:bCs/>
          <w:iCs/>
        </w:rPr>
        <w:t>ainda, OFÍCIO</w:t>
      </w:r>
      <w:r w:rsidR="00AC5D28" w:rsidRPr="004E0F5F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 nº 1276/2025/SEASDH</w:t>
      </w:r>
      <w:r w:rsidRPr="004E0F5F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/2025, </w:t>
      </w:r>
      <w:r w:rsidR="00BB610F" w:rsidRPr="004E0F5F">
        <w:rPr>
          <w:rFonts w:ascii="Arial" w:hAnsi="Arial" w:cs="Arial"/>
          <w:iCs/>
        </w:rPr>
        <w:t xml:space="preserve">SEI </w:t>
      </w:r>
      <w:r w:rsidR="00AC5D28" w:rsidRPr="004E0F5F">
        <w:rPr>
          <w:rFonts w:ascii="Arial" w:hAnsi="Arial" w:cs="Arial"/>
          <w:iCs/>
        </w:rPr>
        <w:t>0860.012952.00589/2025-49</w:t>
      </w:r>
      <w:r w:rsidR="00BB610F" w:rsidRPr="004E0F5F">
        <w:rPr>
          <w:rFonts w:ascii="Arial" w:hAnsi="Arial" w:cs="Arial"/>
          <w:iCs/>
        </w:rPr>
        <w:t>.</w:t>
      </w:r>
    </w:p>
    <w:p w:rsidR="004E0F5F" w:rsidRPr="004E0F5F" w:rsidRDefault="004E0F5F" w:rsidP="004E0F5F">
      <w:pPr>
        <w:spacing w:line="360" w:lineRule="auto"/>
        <w:ind w:right="-142" w:firstLine="1276"/>
        <w:jc w:val="both"/>
        <w:rPr>
          <w:rFonts w:ascii="Arial" w:hAnsi="Arial" w:cs="Arial"/>
          <w:b/>
        </w:rPr>
      </w:pPr>
    </w:p>
    <w:p w:rsidR="00052F4F" w:rsidRPr="004E0F5F" w:rsidRDefault="00AB2AE2" w:rsidP="004E0F5F">
      <w:pPr>
        <w:spacing w:line="360" w:lineRule="auto"/>
        <w:ind w:right="-142" w:firstLine="1276"/>
        <w:jc w:val="both"/>
        <w:rPr>
          <w:rFonts w:ascii="Arial" w:hAnsi="Arial" w:cs="Arial"/>
          <w:b/>
        </w:rPr>
      </w:pPr>
      <w:r w:rsidRPr="004E0F5F">
        <w:rPr>
          <w:rFonts w:ascii="Arial" w:hAnsi="Arial" w:cs="Arial"/>
          <w:b/>
        </w:rPr>
        <w:lastRenderedPageBreak/>
        <w:t xml:space="preserve"> </w:t>
      </w:r>
      <w:r w:rsidR="00052F4F" w:rsidRPr="004E0F5F">
        <w:rPr>
          <w:rFonts w:ascii="Arial" w:hAnsi="Arial" w:cs="Arial"/>
          <w:b/>
        </w:rPr>
        <w:t>RESOLVE:</w:t>
      </w:r>
    </w:p>
    <w:p w:rsidR="00854CF6" w:rsidRPr="004E0F5F" w:rsidRDefault="00854CF6" w:rsidP="004E0F5F">
      <w:pPr>
        <w:spacing w:line="360" w:lineRule="auto"/>
        <w:ind w:right="-142" w:firstLine="1276"/>
        <w:jc w:val="both"/>
        <w:rPr>
          <w:rFonts w:ascii="Arial" w:hAnsi="Arial" w:cs="Arial"/>
          <w:b/>
        </w:rPr>
      </w:pPr>
    </w:p>
    <w:p w:rsidR="00CC3E25" w:rsidRPr="004E0F5F" w:rsidRDefault="00AB2AE2" w:rsidP="004E0F5F">
      <w:pPr>
        <w:spacing w:line="360" w:lineRule="auto"/>
        <w:ind w:left="60" w:right="-142" w:firstLine="1216"/>
        <w:jc w:val="both"/>
        <w:rPr>
          <w:rFonts w:ascii="Arial" w:hAnsi="Arial" w:cs="Arial"/>
          <w:spacing w:val="-2"/>
        </w:rPr>
      </w:pPr>
      <w:r w:rsidRPr="004E0F5F">
        <w:rPr>
          <w:rFonts w:ascii="Arial" w:hAnsi="Arial" w:cs="Arial"/>
          <w:b/>
        </w:rPr>
        <w:t xml:space="preserve"> </w:t>
      </w:r>
      <w:r w:rsidR="00052F4F" w:rsidRPr="004E0F5F">
        <w:rPr>
          <w:rFonts w:ascii="Arial" w:hAnsi="Arial" w:cs="Arial"/>
          <w:b/>
        </w:rPr>
        <w:t>Art. 1º</w:t>
      </w:r>
      <w:r w:rsidR="00052F4F" w:rsidRPr="004E0F5F">
        <w:rPr>
          <w:rFonts w:ascii="Arial" w:hAnsi="Arial" w:cs="Arial"/>
        </w:rPr>
        <w:t xml:space="preserve"> </w:t>
      </w:r>
      <w:r w:rsidR="007B1CDC" w:rsidRPr="004E0F5F">
        <w:rPr>
          <w:rFonts w:ascii="Arial" w:hAnsi="Arial" w:cs="Arial"/>
          <w:b/>
        </w:rPr>
        <w:t>APROVAR</w:t>
      </w:r>
      <w:r w:rsidR="00C073C6" w:rsidRPr="004E0F5F">
        <w:rPr>
          <w:rFonts w:ascii="Arial" w:hAnsi="Arial" w:cs="Arial"/>
          <w:b/>
        </w:rPr>
        <w:t xml:space="preserve">, </w:t>
      </w:r>
      <w:r w:rsidR="00AC5D28" w:rsidRPr="004E0F5F">
        <w:rPr>
          <w:rFonts w:ascii="Arial" w:hAnsi="Arial" w:cs="Arial"/>
          <w:bCs/>
        </w:rPr>
        <w:t>a destinação de recurso</w:t>
      </w:r>
      <w:r w:rsidR="00043DC1" w:rsidRPr="004E0F5F">
        <w:rPr>
          <w:rFonts w:ascii="Arial" w:hAnsi="Arial" w:cs="Arial"/>
          <w:spacing w:val="-2"/>
        </w:rPr>
        <w:t xml:space="preserve"> do Fundo Estadual de Assistência Social (FEAS), </w:t>
      </w:r>
      <w:r w:rsidR="00043DC1" w:rsidRPr="004E0F5F">
        <w:rPr>
          <w:rFonts w:ascii="Arial" w:hAnsi="Arial" w:cs="Arial"/>
          <w:bCs/>
        </w:rPr>
        <w:t>para</w:t>
      </w:r>
      <w:r w:rsidR="00AC5D28" w:rsidRPr="004E0F5F">
        <w:rPr>
          <w:rFonts w:ascii="Arial" w:hAnsi="Arial" w:cs="Arial"/>
          <w:bCs/>
        </w:rPr>
        <w:t xml:space="preserve"> atender </w:t>
      </w:r>
      <w:r w:rsidRPr="004E0F5F">
        <w:rPr>
          <w:rFonts w:ascii="Arial" w:hAnsi="Arial" w:cs="Arial"/>
          <w:bCs/>
        </w:rPr>
        <w:t>a Entidade</w:t>
      </w:r>
      <w:r w:rsidRPr="004E0F5F">
        <w:rPr>
          <w:rFonts w:ascii="Arial" w:hAnsi="Arial" w:cs="Arial"/>
          <w:b/>
        </w:rPr>
        <w:t xml:space="preserve"> </w:t>
      </w:r>
      <w:r w:rsidRPr="004E0F5F">
        <w:rPr>
          <w:rFonts w:ascii="Arial" w:hAnsi="Arial" w:cs="Arial"/>
          <w:color w:val="000000"/>
        </w:rPr>
        <w:t xml:space="preserve">Fundação Dom José Hascher, CNPJ: 04.510.368/0001-50, </w:t>
      </w:r>
      <w:r w:rsidR="00AC5D28" w:rsidRPr="004E0F5F">
        <w:rPr>
          <w:rFonts w:ascii="Arial" w:hAnsi="Arial" w:cs="Arial"/>
          <w:spacing w:val="-2"/>
        </w:rPr>
        <w:t>conforme</w:t>
      </w:r>
      <w:r w:rsidR="00043DC1" w:rsidRPr="004E0F5F">
        <w:rPr>
          <w:rFonts w:ascii="Arial" w:hAnsi="Arial" w:cs="Arial"/>
          <w:spacing w:val="-2"/>
        </w:rPr>
        <w:t xml:space="preserve"> Plano de Trabalho no valor de R$ 33.149,49 (trinta e três mil, cento e quarenta e nove reais e quarenta e nove centavos)</w:t>
      </w:r>
      <w:r w:rsidR="00AC5D28" w:rsidRPr="004E0F5F">
        <w:rPr>
          <w:rFonts w:ascii="Arial" w:hAnsi="Arial" w:cs="Arial"/>
          <w:spacing w:val="-2"/>
        </w:rPr>
        <w:t>:</w:t>
      </w:r>
    </w:p>
    <w:tbl>
      <w:tblPr>
        <w:tblW w:w="9356" w:type="dxa"/>
        <w:tblCellSpacing w:w="7" w:type="dxa"/>
        <w:tblInd w:w="1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2493"/>
        <w:gridCol w:w="1924"/>
        <w:gridCol w:w="1265"/>
        <w:gridCol w:w="2150"/>
      </w:tblGrid>
      <w:tr w:rsidR="00570F68" w:rsidRPr="004E0F5F" w:rsidTr="004E0F5F">
        <w:trPr>
          <w:trHeight w:val="496"/>
          <w:tblCellSpacing w:w="7" w:type="dxa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pStyle w:val="tabelatextocentralizado"/>
              <w:spacing w:before="0" w:beforeAutospacing="0" w:after="0" w:afterAutospacing="0" w:line="360" w:lineRule="auto"/>
              <w:ind w:left="60" w:right="-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F5F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Cód. Unidade Orçamentária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pStyle w:val="tabelatextocentralizado"/>
              <w:spacing w:before="0" w:beforeAutospacing="0" w:after="0" w:afterAutospacing="0" w:line="360" w:lineRule="auto"/>
              <w:ind w:left="60" w:right="-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F5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Cód. Reduzido Projeto/Atividade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pStyle w:val="tabelatextocentralizado"/>
              <w:spacing w:before="0" w:beforeAutospacing="0" w:after="0" w:afterAutospacing="0" w:line="360" w:lineRule="auto"/>
              <w:ind w:left="60" w:right="-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F5F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Cód. Natureza da Despesa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pStyle w:val="tabelatextocentralizado"/>
              <w:spacing w:before="0" w:beforeAutospacing="0" w:after="0" w:afterAutospacing="0" w:line="360" w:lineRule="auto"/>
              <w:ind w:left="60" w:right="-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F5F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Fonte de Recurso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pStyle w:val="tabelatextocentralizado"/>
              <w:spacing w:before="0" w:beforeAutospacing="0" w:after="0" w:afterAutospacing="0" w:line="360" w:lineRule="auto"/>
              <w:ind w:left="60" w:right="-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F5F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Valor Estimado</w:t>
            </w:r>
          </w:p>
        </w:tc>
      </w:tr>
      <w:tr w:rsidR="00570F68" w:rsidRPr="004E0F5F" w:rsidTr="004E0F5F">
        <w:trPr>
          <w:trHeight w:val="291"/>
          <w:tblCellSpacing w:w="7" w:type="dxa"/>
        </w:trPr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pStyle w:val="tabelatextocentralizado"/>
              <w:spacing w:before="0" w:beforeAutospacing="0" w:after="0" w:afterAutospacing="0" w:line="360" w:lineRule="auto"/>
              <w:ind w:left="60" w:right="-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F5F">
              <w:rPr>
                <w:rFonts w:ascii="Arial" w:hAnsi="Arial" w:cs="Arial"/>
                <w:color w:val="000000"/>
                <w:sz w:val="16"/>
                <w:szCs w:val="16"/>
              </w:rPr>
              <w:t>760.608</w:t>
            </w:r>
          </w:p>
        </w:tc>
        <w:tc>
          <w:tcPr>
            <w:tcW w:w="24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pStyle w:val="tabelatextocentralizado"/>
              <w:spacing w:before="0" w:beforeAutospacing="0" w:after="0" w:afterAutospacing="0" w:line="360" w:lineRule="auto"/>
              <w:ind w:left="60" w:right="-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F5F">
              <w:rPr>
                <w:rFonts w:ascii="Arial" w:hAnsi="Arial" w:cs="Arial"/>
                <w:color w:val="000000"/>
                <w:sz w:val="16"/>
                <w:szCs w:val="16"/>
              </w:rPr>
              <w:t>1264.0000</w:t>
            </w:r>
          </w:p>
        </w:tc>
        <w:tc>
          <w:tcPr>
            <w:tcW w:w="19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pStyle w:val="tabelatextocentralizado"/>
              <w:spacing w:before="0" w:beforeAutospacing="0" w:after="0" w:afterAutospacing="0" w:line="360" w:lineRule="auto"/>
              <w:ind w:left="60" w:right="-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F5F">
              <w:rPr>
                <w:rFonts w:ascii="Arial" w:hAnsi="Arial" w:cs="Arial"/>
                <w:color w:val="000000"/>
                <w:sz w:val="16"/>
                <w:szCs w:val="16"/>
              </w:rPr>
              <w:t>33.50.41.00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pStyle w:val="tabelatextocentralizado"/>
              <w:spacing w:before="0" w:beforeAutospacing="0" w:after="0" w:afterAutospacing="0" w:line="360" w:lineRule="auto"/>
              <w:ind w:left="60" w:right="-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F5F">
              <w:rPr>
                <w:rFonts w:ascii="Arial" w:hAnsi="Arial" w:cs="Arial"/>
                <w:color w:val="000000"/>
                <w:sz w:val="16"/>
                <w:szCs w:val="16"/>
              </w:rPr>
              <w:t>1 500 0100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pStyle w:val="tabelatextocentralizado"/>
              <w:spacing w:before="0" w:beforeAutospacing="0" w:after="0" w:afterAutospacing="0" w:line="360" w:lineRule="auto"/>
              <w:ind w:left="60" w:right="-1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F5F">
              <w:rPr>
                <w:rFonts w:ascii="Arial" w:hAnsi="Arial" w:cs="Arial"/>
                <w:color w:val="000000"/>
                <w:sz w:val="16"/>
                <w:szCs w:val="16"/>
              </w:rPr>
              <w:t>R$ 33.149,49</w:t>
            </w:r>
          </w:p>
        </w:tc>
      </w:tr>
      <w:tr w:rsidR="00570F68" w:rsidRPr="004E0F5F" w:rsidTr="004E0F5F">
        <w:trPr>
          <w:trHeight w:val="139"/>
          <w:tblCellSpacing w:w="7" w:type="dxa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spacing w:line="360" w:lineRule="auto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spacing w:line="360" w:lineRule="auto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D28" w:rsidRPr="004E0F5F" w:rsidRDefault="00AC5D28" w:rsidP="004E0F5F">
            <w:pPr>
              <w:spacing w:line="360" w:lineRule="auto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AC5D28" w:rsidRPr="004E0F5F" w:rsidRDefault="00AC5D28" w:rsidP="004E0F5F">
            <w:pPr>
              <w:spacing w:line="360" w:lineRule="auto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vAlign w:val="center"/>
            <w:hideMark/>
          </w:tcPr>
          <w:p w:rsidR="00AC5D28" w:rsidRPr="004E0F5F" w:rsidRDefault="00AC5D28" w:rsidP="004E0F5F">
            <w:pPr>
              <w:spacing w:line="360" w:lineRule="auto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5D28" w:rsidRPr="004E0F5F" w:rsidRDefault="00AC5D28" w:rsidP="004E0F5F">
      <w:pPr>
        <w:spacing w:line="360" w:lineRule="auto"/>
        <w:ind w:left="60" w:right="-142" w:firstLine="1216"/>
        <w:jc w:val="both"/>
        <w:rPr>
          <w:rFonts w:ascii="Arial" w:hAnsi="Arial" w:cs="Arial"/>
          <w:sz w:val="16"/>
          <w:szCs w:val="16"/>
        </w:rPr>
      </w:pPr>
    </w:p>
    <w:p w:rsidR="00486890" w:rsidRPr="004E0F5F" w:rsidRDefault="00AB2AE2" w:rsidP="004E0F5F">
      <w:pPr>
        <w:spacing w:line="360" w:lineRule="auto"/>
        <w:ind w:right="-142" w:firstLine="1276"/>
        <w:jc w:val="both"/>
        <w:rPr>
          <w:rFonts w:ascii="Arial" w:hAnsi="Arial" w:cs="Arial"/>
        </w:rPr>
      </w:pPr>
      <w:r w:rsidRPr="004E0F5F">
        <w:rPr>
          <w:rFonts w:ascii="Arial" w:hAnsi="Arial" w:cs="Arial"/>
          <w:b/>
        </w:rPr>
        <w:t xml:space="preserve"> </w:t>
      </w:r>
      <w:r w:rsidR="00486890" w:rsidRPr="004E0F5F">
        <w:rPr>
          <w:rFonts w:ascii="Arial" w:hAnsi="Arial" w:cs="Arial"/>
          <w:b/>
        </w:rPr>
        <w:t xml:space="preserve">Art. </w:t>
      </w:r>
      <w:r w:rsidRPr="004E0F5F">
        <w:rPr>
          <w:rFonts w:ascii="Arial" w:hAnsi="Arial" w:cs="Arial"/>
          <w:b/>
        </w:rPr>
        <w:t>2</w:t>
      </w:r>
      <w:r w:rsidR="00486890" w:rsidRPr="004E0F5F">
        <w:rPr>
          <w:rFonts w:ascii="Arial" w:hAnsi="Arial" w:cs="Arial"/>
          <w:b/>
        </w:rPr>
        <w:t>º</w:t>
      </w:r>
      <w:r w:rsidR="00486890" w:rsidRPr="004E0F5F">
        <w:rPr>
          <w:rFonts w:ascii="Arial" w:hAnsi="Arial" w:cs="Arial"/>
        </w:rPr>
        <w:t xml:space="preserve"> Esta Resolução entra em vigor na data de sua publicação.</w:t>
      </w:r>
    </w:p>
    <w:p w:rsidR="00486890" w:rsidRPr="004E0F5F" w:rsidRDefault="00486890" w:rsidP="004E0F5F">
      <w:pPr>
        <w:spacing w:line="360" w:lineRule="auto"/>
        <w:ind w:right="-142" w:firstLine="851"/>
        <w:jc w:val="both"/>
        <w:rPr>
          <w:rFonts w:ascii="Arial" w:hAnsi="Arial" w:cs="Arial"/>
        </w:rPr>
      </w:pPr>
    </w:p>
    <w:p w:rsidR="005B53E3" w:rsidRPr="004E0F5F" w:rsidRDefault="005B53E3" w:rsidP="004E0F5F">
      <w:pPr>
        <w:pStyle w:val="Cabealho"/>
        <w:tabs>
          <w:tab w:val="clear" w:pos="4419"/>
          <w:tab w:val="clear" w:pos="8838"/>
          <w:tab w:val="left" w:pos="6750"/>
        </w:tabs>
        <w:spacing w:line="360" w:lineRule="auto"/>
        <w:ind w:right="-142"/>
        <w:rPr>
          <w:rFonts w:ascii="Arial" w:hAnsi="Arial" w:cs="Arial"/>
        </w:rPr>
      </w:pPr>
    </w:p>
    <w:p w:rsidR="00FE3D15" w:rsidRPr="004E0F5F" w:rsidRDefault="00FE3D15" w:rsidP="004E0F5F">
      <w:pPr>
        <w:pStyle w:val="Cabealho"/>
        <w:tabs>
          <w:tab w:val="clear" w:pos="4419"/>
          <w:tab w:val="clear" w:pos="8838"/>
          <w:tab w:val="left" w:pos="6750"/>
        </w:tabs>
        <w:ind w:right="-142"/>
        <w:jc w:val="center"/>
        <w:rPr>
          <w:rFonts w:ascii="Arial" w:hAnsi="Arial" w:cs="Arial"/>
        </w:rPr>
      </w:pPr>
    </w:p>
    <w:p w:rsidR="00FE3D15" w:rsidRPr="004E0F5F" w:rsidRDefault="000A4626" w:rsidP="004E0F5F">
      <w:pPr>
        <w:pStyle w:val="Cabealho"/>
        <w:tabs>
          <w:tab w:val="clear" w:pos="4419"/>
          <w:tab w:val="clear" w:pos="8838"/>
        </w:tabs>
        <w:ind w:right="-142"/>
        <w:jc w:val="center"/>
        <w:rPr>
          <w:rFonts w:ascii="Arial" w:hAnsi="Arial" w:cs="Arial"/>
          <w:b/>
        </w:rPr>
      </w:pPr>
      <w:r w:rsidRPr="004E0F5F">
        <w:rPr>
          <w:rFonts w:ascii="Arial" w:hAnsi="Arial" w:cs="Arial"/>
          <w:b/>
        </w:rPr>
        <w:t>Gabriel Maia Gelpke</w:t>
      </w:r>
    </w:p>
    <w:p w:rsidR="00AA6D6A" w:rsidRPr="004E0F5F" w:rsidRDefault="00FE3D15" w:rsidP="004E0F5F">
      <w:pPr>
        <w:pStyle w:val="Cabealho"/>
        <w:tabs>
          <w:tab w:val="clear" w:pos="4419"/>
          <w:tab w:val="clear" w:pos="8838"/>
        </w:tabs>
        <w:ind w:right="-142"/>
        <w:jc w:val="center"/>
        <w:rPr>
          <w:rFonts w:ascii="Arial" w:hAnsi="Arial" w:cs="Arial"/>
        </w:rPr>
      </w:pPr>
      <w:r w:rsidRPr="004E0F5F">
        <w:rPr>
          <w:rFonts w:ascii="Arial" w:hAnsi="Arial" w:cs="Arial"/>
        </w:rPr>
        <w:t>Presidente do CEAS</w:t>
      </w:r>
    </w:p>
    <w:sectPr w:rsidR="00AA6D6A" w:rsidRPr="004E0F5F" w:rsidSect="00230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EA0" w:rsidRDefault="00F44EA0">
      <w:r>
        <w:separator/>
      </w:r>
    </w:p>
  </w:endnote>
  <w:endnote w:type="continuationSeparator" w:id="0">
    <w:p w:rsidR="00F44EA0" w:rsidRDefault="00F4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EA0" w:rsidRDefault="00F44EA0">
      <w:r>
        <w:separator/>
      </w:r>
    </w:p>
  </w:footnote>
  <w:footnote w:type="continuationSeparator" w:id="0">
    <w:p w:rsidR="00F44EA0" w:rsidRDefault="00F4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329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6B196D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103C34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1996E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0253A9"/>
    <w:multiLevelType w:val="hybridMultilevel"/>
    <w:tmpl w:val="9A763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1708A"/>
    <w:rsid w:val="0002020E"/>
    <w:rsid w:val="000366D1"/>
    <w:rsid w:val="00043DC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4626"/>
    <w:rsid w:val="000A6E83"/>
    <w:rsid w:val="000B4D20"/>
    <w:rsid w:val="000B6C34"/>
    <w:rsid w:val="000B7C7E"/>
    <w:rsid w:val="000C14F8"/>
    <w:rsid w:val="000C1CDC"/>
    <w:rsid w:val="000C2344"/>
    <w:rsid w:val="000C4FC1"/>
    <w:rsid w:val="000F50D1"/>
    <w:rsid w:val="000F680B"/>
    <w:rsid w:val="000F7C0B"/>
    <w:rsid w:val="001000AD"/>
    <w:rsid w:val="001020C7"/>
    <w:rsid w:val="00103870"/>
    <w:rsid w:val="00103C34"/>
    <w:rsid w:val="00113C46"/>
    <w:rsid w:val="00113F0A"/>
    <w:rsid w:val="00115D52"/>
    <w:rsid w:val="00120FC7"/>
    <w:rsid w:val="00122159"/>
    <w:rsid w:val="0012323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50B8"/>
    <w:rsid w:val="00197390"/>
    <w:rsid w:val="001A1664"/>
    <w:rsid w:val="001B0BAF"/>
    <w:rsid w:val="001B302E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17DE2"/>
    <w:rsid w:val="002271EF"/>
    <w:rsid w:val="002278AE"/>
    <w:rsid w:val="00230019"/>
    <w:rsid w:val="0023067A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7280B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33C6"/>
    <w:rsid w:val="002D667C"/>
    <w:rsid w:val="002E261C"/>
    <w:rsid w:val="002F0D3D"/>
    <w:rsid w:val="00330867"/>
    <w:rsid w:val="00337BDF"/>
    <w:rsid w:val="0034286C"/>
    <w:rsid w:val="0034487B"/>
    <w:rsid w:val="003473A9"/>
    <w:rsid w:val="00347BD8"/>
    <w:rsid w:val="00353CBC"/>
    <w:rsid w:val="00356571"/>
    <w:rsid w:val="00366CDC"/>
    <w:rsid w:val="003706F6"/>
    <w:rsid w:val="00373732"/>
    <w:rsid w:val="00377EFA"/>
    <w:rsid w:val="003955A6"/>
    <w:rsid w:val="003955F9"/>
    <w:rsid w:val="003A0C43"/>
    <w:rsid w:val="003A29F3"/>
    <w:rsid w:val="003A339C"/>
    <w:rsid w:val="003A7ECE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CD4"/>
    <w:rsid w:val="00413358"/>
    <w:rsid w:val="00420411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3021"/>
    <w:rsid w:val="00475D86"/>
    <w:rsid w:val="00482132"/>
    <w:rsid w:val="004831E3"/>
    <w:rsid w:val="00486890"/>
    <w:rsid w:val="0049442B"/>
    <w:rsid w:val="004A5630"/>
    <w:rsid w:val="004B2BEF"/>
    <w:rsid w:val="004B5C94"/>
    <w:rsid w:val="004E0F5F"/>
    <w:rsid w:val="004E12CB"/>
    <w:rsid w:val="004E130E"/>
    <w:rsid w:val="004E1B75"/>
    <w:rsid w:val="005148F1"/>
    <w:rsid w:val="00514F8E"/>
    <w:rsid w:val="00516C94"/>
    <w:rsid w:val="00520138"/>
    <w:rsid w:val="005310C8"/>
    <w:rsid w:val="00536185"/>
    <w:rsid w:val="0054221B"/>
    <w:rsid w:val="00542BA0"/>
    <w:rsid w:val="00544C8D"/>
    <w:rsid w:val="0054549C"/>
    <w:rsid w:val="00556E70"/>
    <w:rsid w:val="00564EB4"/>
    <w:rsid w:val="005701F7"/>
    <w:rsid w:val="00570F68"/>
    <w:rsid w:val="00571609"/>
    <w:rsid w:val="00586F0A"/>
    <w:rsid w:val="00587903"/>
    <w:rsid w:val="00590CD5"/>
    <w:rsid w:val="00596305"/>
    <w:rsid w:val="005A23DF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196D"/>
    <w:rsid w:val="006B34CC"/>
    <w:rsid w:val="006B5818"/>
    <w:rsid w:val="006B60C0"/>
    <w:rsid w:val="006C7DA2"/>
    <w:rsid w:val="006E2EB6"/>
    <w:rsid w:val="006F0A0C"/>
    <w:rsid w:val="006F0BFC"/>
    <w:rsid w:val="006F7889"/>
    <w:rsid w:val="0070050A"/>
    <w:rsid w:val="00706A3A"/>
    <w:rsid w:val="0071720E"/>
    <w:rsid w:val="00731731"/>
    <w:rsid w:val="00734A75"/>
    <w:rsid w:val="00737AFC"/>
    <w:rsid w:val="00741AF1"/>
    <w:rsid w:val="00743916"/>
    <w:rsid w:val="007452DB"/>
    <w:rsid w:val="0075493E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A5AE2"/>
    <w:rsid w:val="007B0C59"/>
    <w:rsid w:val="007B0EB1"/>
    <w:rsid w:val="007B1CDC"/>
    <w:rsid w:val="007B244A"/>
    <w:rsid w:val="007B39F5"/>
    <w:rsid w:val="007B50AB"/>
    <w:rsid w:val="007B5454"/>
    <w:rsid w:val="007C57CC"/>
    <w:rsid w:val="007E021D"/>
    <w:rsid w:val="008022C2"/>
    <w:rsid w:val="0080756F"/>
    <w:rsid w:val="008167E2"/>
    <w:rsid w:val="00820864"/>
    <w:rsid w:val="008231B4"/>
    <w:rsid w:val="00824C8E"/>
    <w:rsid w:val="0082525D"/>
    <w:rsid w:val="00835437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A0807"/>
    <w:rsid w:val="008C54A7"/>
    <w:rsid w:val="008D4243"/>
    <w:rsid w:val="008E1BD5"/>
    <w:rsid w:val="008E473E"/>
    <w:rsid w:val="0090653B"/>
    <w:rsid w:val="00906C05"/>
    <w:rsid w:val="0090793D"/>
    <w:rsid w:val="00912F8C"/>
    <w:rsid w:val="00914001"/>
    <w:rsid w:val="00920552"/>
    <w:rsid w:val="0093021A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55EF"/>
    <w:rsid w:val="00990879"/>
    <w:rsid w:val="009A3A99"/>
    <w:rsid w:val="009A7DFE"/>
    <w:rsid w:val="009D0DB1"/>
    <w:rsid w:val="009D479B"/>
    <w:rsid w:val="009D4843"/>
    <w:rsid w:val="009E5DCC"/>
    <w:rsid w:val="009E5EF6"/>
    <w:rsid w:val="009E7832"/>
    <w:rsid w:val="009F4DC8"/>
    <w:rsid w:val="009F5AAF"/>
    <w:rsid w:val="00A03361"/>
    <w:rsid w:val="00A3062B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5126"/>
    <w:rsid w:val="00A751A0"/>
    <w:rsid w:val="00A76C5A"/>
    <w:rsid w:val="00A807E5"/>
    <w:rsid w:val="00A94652"/>
    <w:rsid w:val="00A97727"/>
    <w:rsid w:val="00AA59FF"/>
    <w:rsid w:val="00AA6D6A"/>
    <w:rsid w:val="00AB2AE2"/>
    <w:rsid w:val="00AB503A"/>
    <w:rsid w:val="00AB6806"/>
    <w:rsid w:val="00AC5D28"/>
    <w:rsid w:val="00AC6CF3"/>
    <w:rsid w:val="00AD3B15"/>
    <w:rsid w:val="00AD5CBE"/>
    <w:rsid w:val="00AE2F86"/>
    <w:rsid w:val="00AF1989"/>
    <w:rsid w:val="00B0272A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26CB"/>
    <w:rsid w:val="00B3369A"/>
    <w:rsid w:val="00B36FCE"/>
    <w:rsid w:val="00B373A0"/>
    <w:rsid w:val="00B512B7"/>
    <w:rsid w:val="00B568FF"/>
    <w:rsid w:val="00B6246F"/>
    <w:rsid w:val="00B73231"/>
    <w:rsid w:val="00B74230"/>
    <w:rsid w:val="00B75143"/>
    <w:rsid w:val="00B8100F"/>
    <w:rsid w:val="00BA1D0F"/>
    <w:rsid w:val="00BA494E"/>
    <w:rsid w:val="00BB1C7E"/>
    <w:rsid w:val="00BB610F"/>
    <w:rsid w:val="00BC6EFC"/>
    <w:rsid w:val="00BD4792"/>
    <w:rsid w:val="00BD4C5A"/>
    <w:rsid w:val="00BE06CA"/>
    <w:rsid w:val="00BE68B9"/>
    <w:rsid w:val="00BF32FF"/>
    <w:rsid w:val="00BF66EB"/>
    <w:rsid w:val="00C00EB0"/>
    <w:rsid w:val="00C06767"/>
    <w:rsid w:val="00C073C6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C3E25"/>
    <w:rsid w:val="00CC4327"/>
    <w:rsid w:val="00CE0E77"/>
    <w:rsid w:val="00CE13A1"/>
    <w:rsid w:val="00CE1EC3"/>
    <w:rsid w:val="00CF28D5"/>
    <w:rsid w:val="00D03040"/>
    <w:rsid w:val="00D13C51"/>
    <w:rsid w:val="00D14EC2"/>
    <w:rsid w:val="00D20A30"/>
    <w:rsid w:val="00D23E7B"/>
    <w:rsid w:val="00D40D8F"/>
    <w:rsid w:val="00D53E7E"/>
    <w:rsid w:val="00D54F23"/>
    <w:rsid w:val="00D63661"/>
    <w:rsid w:val="00D65949"/>
    <w:rsid w:val="00D81FBD"/>
    <w:rsid w:val="00D84E9C"/>
    <w:rsid w:val="00D8526F"/>
    <w:rsid w:val="00D854C7"/>
    <w:rsid w:val="00D97179"/>
    <w:rsid w:val="00DB1566"/>
    <w:rsid w:val="00DB21AD"/>
    <w:rsid w:val="00DB36C7"/>
    <w:rsid w:val="00DC3D02"/>
    <w:rsid w:val="00DC4045"/>
    <w:rsid w:val="00DC673C"/>
    <w:rsid w:val="00DC6A87"/>
    <w:rsid w:val="00DD31BB"/>
    <w:rsid w:val="00DD6D44"/>
    <w:rsid w:val="00DE5EDC"/>
    <w:rsid w:val="00DF5F23"/>
    <w:rsid w:val="00DF7EE0"/>
    <w:rsid w:val="00E04DF9"/>
    <w:rsid w:val="00E137EF"/>
    <w:rsid w:val="00E20E92"/>
    <w:rsid w:val="00E27627"/>
    <w:rsid w:val="00E27662"/>
    <w:rsid w:val="00E303BF"/>
    <w:rsid w:val="00E30A89"/>
    <w:rsid w:val="00E32107"/>
    <w:rsid w:val="00E44142"/>
    <w:rsid w:val="00E52216"/>
    <w:rsid w:val="00E55A4C"/>
    <w:rsid w:val="00E605A2"/>
    <w:rsid w:val="00E6500F"/>
    <w:rsid w:val="00E675D2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0F7C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4274"/>
    <w:rsid w:val="00F067EA"/>
    <w:rsid w:val="00F13CF2"/>
    <w:rsid w:val="00F15EB2"/>
    <w:rsid w:val="00F200B4"/>
    <w:rsid w:val="00F2104E"/>
    <w:rsid w:val="00F25B76"/>
    <w:rsid w:val="00F30553"/>
    <w:rsid w:val="00F43E8B"/>
    <w:rsid w:val="00F44EA0"/>
    <w:rsid w:val="00F5123E"/>
    <w:rsid w:val="00F54C2E"/>
    <w:rsid w:val="00F70FF7"/>
    <w:rsid w:val="00F82772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C5DB4"/>
    <w:rsid w:val="00FC61B8"/>
    <w:rsid w:val="00FD4F6F"/>
    <w:rsid w:val="00FE2241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0442B2-432E-43F5-B814-C029D890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CC3E2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3E25"/>
    <w:rPr>
      <w:rFonts w:ascii="Verdana" w:eastAsia="Verdana" w:hAnsi="Verdana" w:cs="Verdana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C3E25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8AEF-BA07-4482-8575-20F845E3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1944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2025-09-17T16:02:00Z</dcterms:created>
  <dcterms:modified xsi:type="dcterms:W3CDTF">2025-09-17T16:02:00Z</dcterms:modified>
</cp:coreProperties>
</file>