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4A" w:rsidRDefault="001B6976">
      <w:pPr>
        <w:spacing w:after="78" w:line="259" w:lineRule="auto"/>
        <w:ind w:left="-5" w:right="0"/>
        <w:jc w:val="left"/>
      </w:pPr>
      <w:bookmarkStart w:id="0" w:name="_GoBack"/>
      <w:bookmarkEnd w:id="0"/>
      <w:r>
        <w:rPr>
          <w:b/>
        </w:rPr>
        <w:t>LEI N.º2.967, DE 22 DE JULHO DE 2015.</w:t>
      </w:r>
      <w:r>
        <w:t xml:space="preserve"> </w:t>
      </w:r>
    </w:p>
    <w:p w:rsidR="0073194A" w:rsidRDefault="001B6976">
      <w:pPr>
        <w:spacing w:after="0" w:line="259" w:lineRule="auto"/>
        <w:ind w:left="0" w:right="502" w:firstLine="0"/>
        <w:jc w:val="center"/>
      </w:pPr>
      <w:r>
        <w:t xml:space="preserve"> </w:t>
      </w:r>
    </w:p>
    <w:p w:rsidR="0073194A" w:rsidRDefault="001B6976">
      <w:pPr>
        <w:spacing w:after="0" w:line="259" w:lineRule="auto"/>
        <w:ind w:left="631" w:right="0" w:firstLine="0"/>
        <w:jc w:val="center"/>
      </w:pPr>
      <w:r>
        <w:rPr>
          <w:b/>
        </w:rPr>
        <w:t xml:space="preserve"> </w:t>
      </w:r>
    </w:p>
    <w:p w:rsidR="0073194A" w:rsidRDefault="001B6976">
      <w:pPr>
        <w:spacing w:after="96" w:line="245" w:lineRule="auto"/>
        <w:ind w:left="4135" w:firstLine="0"/>
        <w:jc w:val="right"/>
      </w:pPr>
      <w:r>
        <w:t xml:space="preserve">Altera e acresce dispositivos à Lei nº 1.011 de 18 de dezembro de 1991, que “Dispõe sobre a criação e regulamentação </w:t>
      </w:r>
      <w:r>
        <w:tab/>
        <w:t xml:space="preserve">do </w:t>
      </w:r>
      <w:r>
        <w:tab/>
        <w:t xml:space="preserve">Conselho Estadual dos Direitos da Criança e </w:t>
      </w:r>
      <w:proofErr w:type="spellStart"/>
      <w:r>
        <w:t>o</w:t>
      </w:r>
      <w:proofErr w:type="spellEnd"/>
      <w:r>
        <w:t xml:space="preserve"> Adolescente – CEDCA”.  </w:t>
      </w:r>
    </w:p>
    <w:p w:rsidR="0073194A" w:rsidRDefault="001B6976">
      <w:pPr>
        <w:spacing w:after="76" w:line="259" w:lineRule="auto"/>
        <w:ind w:left="631" w:right="0" w:firstLine="0"/>
        <w:jc w:val="center"/>
      </w:pPr>
      <w:r>
        <w:rPr>
          <w:b/>
        </w:rPr>
        <w:t xml:space="preserve"> </w:t>
      </w:r>
    </w:p>
    <w:p w:rsidR="0073194A" w:rsidRDefault="001B6976">
      <w:pPr>
        <w:spacing w:after="79" w:line="259" w:lineRule="auto"/>
        <w:ind w:left="3080" w:right="0" w:firstLine="0"/>
        <w:jc w:val="center"/>
      </w:pPr>
      <w:r>
        <w:t xml:space="preserve"> </w:t>
      </w:r>
    </w:p>
    <w:p w:rsidR="0073194A" w:rsidRDefault="001B6976">
      <w:pPr>
        <w:spacing w:after="76" w:line="259" w:lineRule="auto"/>
        <w:ind w:left="10" w:right="10"/>
        <w:jc w:val="center"/>
      </w:pPr>
      <w:r>
        <w:rPr>
          <w:b/>
        </w:rPr>
        <w:t xml:space="preserve">O GOVERNADOR DO ESTADO DO ACRE: </w:t>
      </w:r>
    </w:p>
    <w:p w:rsidR="0073194A" w:rsidRDefault="001B6976">
      <w:pPr>
        <w:spacing w:after="79" w:line="259" w:lineRule="auto"/>
        <w:ind w:left="60" w:right="0" w:firstLine="0"/>
        <w:jc w:val="center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FAÇO SABER</w:t>
      </w:r>
      <w:r>
        <w:t xml:space="preserve"> que a Assembleia Legislativa do Estado do Acre decreta e eu sanciono a seguinte Lei: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 xml:space="preserve">Art. 1º </w:t>
      </w:r>
      <w:r>
        <w:t xml:space="preserve">O </w:t>
      </w:r>
      <w:proofErr w:type="spellStart"/>
      <w:r>
        <w:t>arts</w:t>
      </w:r>
      <w:proofErr w:type="spellEnd"/>
      <w:r>
        <w:t xml:space="preserve">. 1º,2º,3º,4º,5º 6º,7º e 9º da Lei n. 1.011, de 18 de dezembro de 1991 passam </w:t>
      </w:r>
      <w:r>
        <w:t xml:space="preserve">a vigorar com as seguintes alterações: </w:t>
      </w:r>
    </w:p>
    <w:p w:rsidR="0073194A" w:rsidRDefault="001B6976">
      <w:pPr>
        <w:spacing w:after="8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 xml:space="preserve">“Art. 1º ...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spacing w:after="0"/>
        <w:ind w:left="-5" w:right="0"/>
      </w:pPr>
      <w:r>
        <w:rPr>
          <w:b/>
        </w:rPr>
        <w:t>§ 1°</w:t>
      </w:r>
      <w:r>
        <w:t xml:space="preserve"> No âmbito de suas atribuições e competências, o CEDCA é órgão autônomo, cujas decisões vinculam a administração pública e a sociedade civil organizada, em conformidade com os princípios constit</w:t>
      </w:r>
      <w:r>
        <w:t xml:space="preserve">ucionais da prioridade absoluta e da participação popular. </w:t>
      </w:r>
    </w:p>
    <w:p w:rsidR="0073194A" w:rsidRDefault="001B697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ind w:left="-5" w:right="0"/>
      </w:pPr>
      <w:r>
        <w:rPr>
          <w:b/>
        </w:rPr>
        <w:t>§ 2°</w:t>
      </w:r>
      <w:r>
        <w:t xml:space="preserve"> O CEDCA tem por finalidade garantir a efetivação dos direitos da criança e do adolescente referente à vida, à saúde, à alimentação, à educação, à cultura, ao esporte, ao lazer, à profission</w:t>
      </w:r>
      <w:r>
        <w:t xml:space="preserve">alização, à dignidade, ao respeito, à liberdade e à convivência familiar e comunitária.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>Art. 2</w:t>
      </w:r>
      <w:proofErr w:type="gramStart"/>
      <w:r>
        <w:rPr>
          <w:b/>
        </w:rPr>
        <w:t>º  ...</w:t>
      </w:r>
      <w:proofErr w:type="gramEnd"/>
      <w:r>
        <w:rPr>
          <w:b/>
        </w:rPr>
        <w:t xml:space="preserve"> </w:t>
      </w:r>
    </w:p>
    <w:p w:rsidR="0073194A" w:rsidRDefault="001B6976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 xml:space="preserve">I </w:t>
      </w:r>
      <w:r>
        <w:t xml:space="preserve">– Formular a política estadual de promoção, proteção, defesa e atendimento dos direitos da criança e do adolescente, bem como coordenar, controlar </w:t>
      </w:r>
      <w:r>
        <w:t xml:space="preserve">e </w:t>
      </w:r>
    </w:p>
    <w:p w:rsidR="0073194A" w:rsidRDefault="001B6976">
      <w:pPr>
        <w:ind w:left="-5" w:right="0"/>
      </w:pPr>
      <w:proofErr w:type="gramStart"/>
      <w:r>
        <w:t>fiscalizar</w:t>
      </w:r>
      <w:proofErr w:type="gramEnd"/>
      <w:r>
        <w:t xml:space="preserve"> a sua execução;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 xml:space="preserve">... </w:t>
      </w:r>
    </w:p>
    <w:p w:rsidR="0073194A" w:rsidRDefault="001B6976">
      <w:pPr>
        <w:ind w:left="-5" w:right="0"/>
      </w:pPr>
      <w:r>
        <w:rPr>
          <w:b/>
        </w:rPr>
        <w:t>Art. 3</w:t>
      </w:r>
      <w:proofErr w:type="gramStart"/>
      <w:r>
        <w:rPr>
          <w:b/>
        </w:rPr>
        <w:t>º</w:t>
      </w:r>
      <w:r>
        <w:t xml:space="preserve">  O</w:t>
      </w:r>
      <w:proofErr w:type="gramEnd"/>
      <w:r>
        <w:t xml:space="preserve"> Conselho Estadual dos Direitos da Criança e do Adolescente será composto por vinte membros titulares e respectivos suplentes, sendo dez conselheiros governamentais e dez conselheiros não governamentais.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lastRenderedPageBreak/>
        <w:t xml:space="preserve">§ </w:t>
      </w:r>
      <w:r>
        <w:rPr>
          <w:b/>
        </w:rPr>
        <w:t>1º</w:t>
      </w:r>
      <w:r>
        <w:t xml:space="preserve"> Os conselheiros governamentais serão nomeados pelo Governador do Estado, tal como segue: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Educação;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</w:t>
      </w:r>
      <w:r>
        <w:t xml:space="preserve">Estadual de Saúde;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Assistência Social;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Direitos Humanos;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</w:t>
      </w:r>
      <w:r>
        <w:t xml:space="preserve">responsável pela execução da Política Estadual de Cultura;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Esporte, Turismo e Lazer; </w:t>
      </w:r>
    </w:p>
    <w:p w:rsidR="0073194A" w:rsidRDefault="001B6976">
      <w:pPr>
        <w:numPr>
          <w:ilvl w:val="0"/>
          <w:numId w:val="1"/>
        </w:numPr>
        <w:ind w:right="0"/>
      </w:pPr>
      <w:r>
        <w:t>Um representante de instituição responsável pela execução da Política Estadual de Traba</w:t>
      </w:r>
      <w:r>
        <w:t xml:space="preserve">lho e Profissionalização;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Finanças; </w:t>
      </w:r>
    </w:p>
    <w:p w:rsidR="0073194A" w:rsidRDefault="001B6976">
      <w:pPr>
        <w:numPr>
          <w:ilvl w:val="0"/>
          <w:numId w:val="1"/>
        </w:numPr>
        <w:ind w:right="0"/>
      </w:pPr>
      <w:r>
        <w:t xml:space="preserve">Um representante de instituição responsável pela execução da Política Estadual de Segurança Pública; </w:t>
      </w:r>
    </w:p>
    <w:p w:rsidR="0073194A" w:rsidRDefault="001B6976">
      <w:pPr>
        <w:numPr>
          <w:ilvl w:val="0"/>
          <w:numId w:val="1"/>
        </w:numPr>
        <w:ind w:right="0"/>
      </w:pPr>
      <w:r>
        <w:t>Um representante de instituição re</w:t>
      </w:r>
      <w:r>
        <w:t xml:space="preserve">sponsável pela execução da política pública de Educação Superior;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2º</w:t>
      </w:r>
      <w:r>
        <w:t xml:space="preserve"> Os conselheiros não governamentais, representantes da Sociedade Civil Organizada, serão eleitos em </w:t>
      </w:r>
      <w:proofErr w:type="spellStart"/>
      <w:r>
        <w:t>Assembléia</w:t>
      </w:r>
      <w:proofErr w:type="spellEnd"/>
      <w:r>
        <w:t xml:space="preserve"> do Fórum dos Direitos da Criança e do Adolescente, especialmente convoca</w:t>
      </w:r>
      <w:r>
        <w:t xml:space="preserve">da para este fim, por Edital publicado nos jornais de grande circulação, com no máximo sessenta dias antes do término do mandado, com a observação do Ministério Público Estadual - MPE.  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3º</w:t>
      </w:r>
      <w:r>
        <w:t xml:space="preserve"> As Instituições representativas da Sociedade Civil Organizada</w:t>
      </w:r>
      <w:r>
        <w:t xml:space="preserve"> deverão ser legalmente constituídas e estar em funcionamento há pelo menos dois anos no Estado do Acre e atenderem ao disposto na Lei Federal nº 8.069, de 13 de julho de 1990, livro II, Título I, Capítulo II.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4º</w:t>
      </w:r>
      <w:r>
        <w:t xml:space="preserve"> Os representantes da sociedade civil j</w:t>
      </w:r>
      <w:r>
        <w:t xml:space="preserve">unto ao CEDCA serão empossados no prazo máximo de trinta dias após a proclamação do resultado da respectiva eleição, com publicação dos nomes das organizações da sociedade civil e dos seus respectivos representantes eleitos, titulares e suplentes.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4º</w:t>
      </w:r>
      <w:r>
        <w:t xml:space="preserve"> Todos os membros do CEDCA serão nomeados pelo Governador do Estado, para cumprirem um mandato de dois anos, permitida apenas uma recondução.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lastRenderedPageBreak/>
        <w:t xml:space="preserve"> </w:t>
      </w:r>
    </w:p>
    <w:p w:rsidR="0073194A" w:rsidRDefault="001B6976">
      <w:pPr>
        <w:ind w:left="-5" w:right="0"/>
      </w:pPr>
      <w:r>
        <w:rPr>
          <w:b/>
        </w:rPr>
        <w:t>§ 1º</w:t>
      </w:r>
      <w:r>
        <w:t xml:space="preserve"> A função de Conselheiro Estadual dos Direitos da Criança e do Adolescente é considerada de interess</w:t>
      </w:r>
      <w:r>
        <w:t xml:space="preserve">e público relevante e não será remunerada em qualquer hipótese.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2º</w:t>
      </w:r>
      <w:r>
        <w:t xml:space="preserve"> Caberá à administração pública estadual, o custeio, diárias ou reembolso das despesas decorrentes de transporte, alimentação e hospedagem dos membros do CEDCA, titulares e suplentes, p</w:t>
      </w:r>
      <w:r>
        <w:t xml:space="preserve">ara que se façam presentes às reuniões ordinárias e extraordinárias, bem como a eventos e solenidades nos quais representarem oficialmente o Conselho, de acordo com a disponibilidade orçamentária e financeira específica.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3</w:t>
      </w:r>
      <w:proofErr w:type="gramStart"/>
      <w:r>
        <w:rPr>
          <w:b/>
        </w:rPr>
        <w:t>º</w:t>
      </w:r>
      <w:r>
        <w:t xml:space="preserve">  Os</w:t>
      </w:r>
      <w:proofErr w:type="gramEnd"/>
      <w:r>
        <w:t xml:space="preserve"> conselheiros titulares </w:t>
      </w:r>
      <w:r>
        <w:t xml:space="preserve">e suplentes poderão ter seus mandatos suspensos ou cassados, quando: </w:t>
      </w:r>
    </w:p>
    <w:p w:rsidR="0073194A" w:rsidRDefault="001B6976">
      <w:pPr>
        <w:numPr>
          <w:ilvl w:val="0"/>
          <w:numId w:val="2"/>
        </w:numPr>
        <w:ind w:right="0"/>
      </w:pPr>
      <w:proofErr w:type="gramStart"/>
      <w:r>
        <w:t>constatada</w:t>
      </w:r>
      <w:proofErr w:type="gramEnd"/>
      <w:r>
        <w:t xml:space="preserve"> a reiteração de faltas injustificadas às sessões deliberativas do CEDCA; </w:t>
      </w:r>
    </w:p>
    <w:p w:rsidR="0073194A" w:rsidRDefault="001B6976">
      <w:pPr>
        <w:numPr>
          <w:ilvl w:val="0"/>
          <w:numId w:val="2"/>
        </w:numPr>
        <w:ind w:right="0"/>
      </w:pPr>
      <w:proofErr w:type="gramStart"/>
      <w:r>
        <w:t>determinado</w:t>
      </w:r>
      <w:proofErr w:type="gramEnd"/>
      <w:r>
        <w:t xml:space="preserve"> em procedimento para apuração de irregularidade em entidade de atendimento, suspensão cau</w:t>
      </w:r>
      <w:r>
        <w:t xml:space="preserve">telar de dirigentes de entidade de atendimento conforme dispõem os </w:t>
      </w:r>
      <w:proofErr w:type="spellStart"/>
      <w:r>
        <w:t>Art.s</w:t>
      </w:r>
      <w:proofErr w:type="spellEnd"/>
      <w:r>
        <w:t xml:space="preserve"> 191 e 193, da Lei nº 8.069; aplicação de alguma das sanções previstas no Art. 97 do mesmo diploma legal; e </w:t>
      </w:r>
    </w:p>
    <w:p w:rsidR="0073194A" w:rsidRDefault="001B6976">
      <w:pPr>
        <w:numPr>
          <w:ilvl w:val="0"/>
          <w:numId w:val="2"/>
        </w:numPr>
        <w:ind w:right="0"/>
      </w:pPr>
      <w:proofErr w:type="gramStart"/>
      <w:r>
        <w:t>constatada</w:t>
      </w:r>
      <w:proofErr w:type="gramEnd"/>
      <w:r>
        <w:t xml:space="preserve"> a prática de ato incompatível com a função ou com os princípios </w:t>
      </w:r>
      <w:r>
        <w:t xml:space="preserve">que regem a administração pública, estabelecidas pelo Art. 4º, da Lei 8.429/92. </w:t>
      </w:r>
    </w:p>
    <w:p w:rsidR="0073194A" w:rsidRDefault="001B6976">
      <w:pPr>
        <w:ind w:left="-5" w:right="0"/>
      </w:pPr>
      <w:r>
        <w:rPr>
          <w:b/>
        </w:rPr>
        <w:t>§ 4º</w:t>
      </w:r>
      <w:r>
        <w:t xml:space="preserve"> A cassação do mandato dos conselheiros, em qualquer hipótese, demandará a instauração de procedimento administrativo específico, no qual se garanta o contraditório e a am</w:t>
      </w:r>
      <w:r>
        <w:t xml:space="preserve">pla defesa, sendo a decisão tomada em </w:t>
      </w:r>
      <w:proofErr w:type="spellStart"/>
      <w:r>
        <w:t>assembléia</w:t>
      </w:r>
      <w:proofErr w:type="spellEnd"/>
      <w:r>
        <w:t xml:space="preserve"> ordinária do CEDCA por maioria absoluta dos votos. 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 xml:space="preserve">Art. 5º ... 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ind w:left="-5" w:right="0"/>
      </w:pPr>
      <w:r>
        <w:rPr>
          <w:b/>
        </w:rPr>
        <w:t>§ 1º</w:t>
      </w:r>
      <w:r>
        <w:t xml:space="preserve"> Constituem receitas do Fundo Estadual dos Direitos da Criança e do Adolescente: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dotação</w:t>
      </w:r>
      <w:proofErr w:type="gramEnd"/>
      <w:r>
        <w:t xml:space="preserve"> consignada anualmente no orçamento estad</w:t>
      </w:r>
      <w:r>
        <w:t xml:space="preserve">ual e as verbas adicionais que a Lei estabelecer no decurso de cada exercício;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doações</w:t>
      </w:r>
      <w:proofErr w:type="gramEnd"/>
      <w:r>
        <w:t xml:space="preserve"> de pessoas físicas e jurídicas, conforme o disposto no art. 260, da Lei nº 8.069, de 13 de junho de 1990;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valores</w:t>
      </w:r>
      <w:proofErr w:type="gramEnd"/>
      <w:r>
        <w:t xml:space="preserve"> provenientes das multas previstas no Art. 214, da Lei nº 8.069, de 13 de junho de 1990, e oriundas das infrações descritas dos artigos 228 ao 258 da referida Lei;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transferências</w:t>
      </w:r>
      <w:proofErr w:type="gramEnd"/>
      <w:r>
        <w:t xml:space="preserve"> de recursos financeiros oriundos do Fundo Nacional dos Direitos da </w:t>
      </w:r>
      <w:r>
        <w:t xml:space="preserve">Criança e do Adolescente;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doações</w:t>
      </w:r>
      <w:proofErr w:type="gramEnd"/>
      <w:r>
        <w:t xml:space="preserve">, auxílios, contribuições, transferências de entidades nacionais, internacionais, governamentais e não-governamentais;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lastRenderedPageBreak/>
        <w:t xml:space="preserve">- </w:t>
      </w:r>
      <w:proofErr w:type="gramStart"/>
      <w:r>
        <w:t>produto</w:t>
      </w:r>
      <w:proofErr w:type="gramEnd"/>
      <w:r>
        <w:t xml:space="preserve"> de aplicações financeiras dos recursos disponíveis, respeitada a legislação em vigor e da </w:t>
      </w:r>
      <w:r>
        <w:t xml:space="preserve">venda de materiais, publicações e eventos; </w:t>
      </w:r>
    </w:p>
    <w:p w:rsidR="0073194A" w:rsidRDefault="001B6976">
      <w:pPr>
        <w:numPr>
          <w:ilvl w:val="0"/>
          <w:numId w:val="3"/>
        </w:numPr>
        <w:spacing w:after="0"/>
        <w:ind w:right="0" w:hanging="430"/>
      </w:pPr>
      <w:r>
        <w:t xml:space="preserve">- </w:t>
      </w:r>
      <w:proofErr w:type="gramStart"/>
      <w:r>
        <w:t>recursos</w:t>
      </w:r>
      <w:proofErr w:type="gramEnd"/>
      <w:r>
        <w:t xml:space="preserve"> advindos de convênios, acordos e contratos firmados entre Estado e instituições privadas e públicas, nacionais e internacionais, federais, estaduais e municipais, para repasse a entidades executoras de</w:t>
      </w:r>
      <w:r>
        <w:t xml:space="preserve"> programas integrantes do Plano de Aplicação; </w:t>
      </w:r>
    </w:p>
    <w:p w:rsidR="0073194A" w:rsidRDefault="001B6976">
      <w:pPr>
        <w:numPr>
          <w:ilvl w:val="0"/>
          <w:numId w:val="3"/>
        </w:numPr>
        <w:ind w:right="0" w:hanging="430"/>
      </w:pPr>
      <w:r>
        <w:t xml:space="preserve">- </w:t>
      </w:r>
      <w:proofErr w:type="gramStart"/>
      <w:r>
        <w:t>outros</w:t>
      </w:r>
      <w:proofErr w:type="gramEnd"/>
      <w:r>
        <w:t xml:space="preserve"> recursos que por ventura lhe forem destinados. </w:t>
      </w:r>
    </w:p>
    <w:p w:rsidR="0073194A" w:rsidRDefault="001B697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spacing w:after="0"/>
        <w:ind w:left="-5" w:right="0"/>
      </w:pPr>
      <w:r>
        <w:rPr>
          <w:b/>
        </w:rPr>
        <w:t>§ 2</w:t>
      </w:r>
      <w:proofErr w:type="gramStart"/>
      <w:r>
        <w:rPr>
          <w:b/>
        </w:rPr>
        <w:t>º</w:t>
      </w:r>
      <w:r>
        <w:t xml:space="preserve">  A</w:t>
      </w:r>
      <w:proofErr w:type="gramEnd"/>
      <w:r>
        <w:t xml:space="preserve"> utilização dos recursos do Fundo Estadual dos Direitos da Criança e do Adolescente será realizada obedecendo à deliberação em resolução do CED</w:t>
      </w:r>
      <w:r>
        <w:t xml:space="preserve">CA, com observância das normas e competências dos sistemas de administração financeira e orçamentária.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>Art. 6</w:t>
      </w:r>
      <w:proofErr w:type="gramStart"/>
      <w:r>
        <w:rPr>
          <w:b/>
        </w:rPr>
        <w:t>º  ...</w:t>
      </w:r>
      <w:proofErr w:type="gramEnd"/>
      <w:r>
        <w:rPr>
          <w:b/>
        </w:rPr>
        <w:t xml:space="preserve">  </w:t>
      </w:r>
    </w:p>
    <w:p w:rsidR="0073194A" w:rsidRDefault="001B6976">
      <w:pPr>
        <w:numPr>
          <w:ilvl w:val="0"/>
          <w:numId w:val="4"/>
        </w:numPr>
        <w:ind w:right="0" w:hanging="360"/>
      </w:pPr>
      <w:r>
        <w:t xml:space="preserve">Plenário; </w:t>
      </w:r>
    </w:p>
    <w:p w:rsidR="0073194A" w:rsidRDefault="001B6976">
      <w:pPr>
        <w:numPr>
          <w:ilvl w:val="0"/>
          <w:numId w:val="4"/>
        </w:numPr>
        <w:ind w:right="0" w:hanging="360"/>
      </w:pPr>
      <w:r>
        <w:t xml:space="preserve">Presidência; </w:t>
      </w:r>
    </w:p>
    <w:p w:rsidR="0073194A" w:rsidRDefault="001B6976">
      <w:pPr>
        <w:numPr>
          <w:ilvl w:val="0"/>
          <w:numId w:val="4"/>
        </w:numPr>
        <w:ind w:right="0" w:hanging="360"/>
      </w:pPr>
      <w:r>
        <w:t xml:space="preserve">Comissões; </w:t>
      </w:r>
    </w:p>
    <w:p w:rsidR="0073194A" w:rsidRDefault="001B6976">
      <w:pPr>
        <w:numPr>
          <w:ilvl w:val="0"/>
          <w:numId w:val="4"/>
        </w:numPr>
        <w:ind w:right="0" w:hanging="360"/>
      </w:pPr>
      <w:r>
        <w:t xml:space="preserve">Secretaria Executiva.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7º</w:t>
      </w:r>
      <w:r>
        <w:t xml:space="preserve"> </w:t>
      </w:r>
      <w:r>
        <w:t xml:space="preserve">O CEDCA será presidido por um dos seus integrantes, eleito diretamente dentre seus membros titulares, em </w:t>
      </w:r>
      <w:proofErr w:type="spellStart"/>
      <w:r>
        <w:t>assembléia</w:t>
      </w:r>
      <w:proofErr w:type="spellEnd"/>
      <w:r>
        <w:t xml:space="preserve"> especialmente convocada para esta finalidade, com </w:t>
      </w:r>
      <w:proofErr w:type="spellStart"/>
      <w:r>
        <w:t>quorum</w:t>
      </w:r>
      <w:proofErr w:type="spellEnd"/>
      <w:r>
        <w:t xml:space="preserve"> mínimo de dois terços, para o mandato de um ano, permitida uma recondução. 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Pará</w:t>
      </w:r>
      <w:r>
        <w:rPr>
          <w:b/>
        </w:rPr>
        <w:t>grafo Único.</w:t>
      </w:r>
      <w:r>
        <w:t xml:space="preserve">  A escolha dos membros para presidência do CEDCA deverá assegurar a alternância entre representantes do poder público e da sociedade civil organizada. </w:t>
      </w:r>
    </w:p>
    <w:p w:rsidR="0073194A" w:rsidRDefault="001B6976">
      <w:pPr>
        <w:spacing w:after="0" w:line="328" w:lineRule="auto"/>
        <w:ind w:left="-5" w:right="8241"/>
        <w:jc w:val="left"/>
      </w:pPr>
      <w:r>
        <w:t xml:space="preserve"> </w:t>
      </w:r>
      <w:r>
        <w:rPr>
          <w:b/>
        </w:rPr>
        <w:t xml:space="preserve">...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spacing w:after="78" w:line="259" w:lineRule="auto"/>
        <w:ind w:left="-5" w:right="0"/>
        <w:jc w:val="left"/>
      </w:pPr>
      <w:r>
        <w:rPr>
          <w:b/>
        </w:rPr>
        <w:t>Art. 9</w:t>
      </w:r>
      <w:proofErr w:type="gramStart"/>
      <w:r>
        <w:rPr>
          <w:b/>
        </w:rPr>
        <w:t>º  ...</w:t>
      </w:r>
      <w:proofErr w:type="gramEnd"/>
      <w:r>
        <w:rPr>
          <w:b/>
        </w:rPr>
        <w:t xml:space="preserve"> 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3194A" w:rsidRDefault="001B6976">
      <w:pPr>
        <w:ind w:left="-5" w:right="0"/>
      </w:pPr>
      <w:r>
        <w:rPr>
          <w:b/>
        </w:rPr>
        <w:t>Parágrafo único</w:t>
      </w:r>
      <w:r>
        <w:t>.  O regimento interno de que trata este artigo dev</w:t>
      </w:r>
      <w:r>
        <w:t xml:space="preserve">erá ser elaborado e aprovado no prazo máximo de sessenta dias contados da primeira reunião ordinária, devendo para tanto serem observadas as disposições legais e resoluções emanadas do Conselho Nacional dos Direitos da Criança e do Adolescente – </w:t>
      </w:r>
      <w:proofErr w:type="gramStart"/>
      <w:r>
        <w:t>CONANDA.”</w:t>
      </w:r>
      <w:proofErr w:type="gramEnd"/>
      <w:r>
        <w:t xml:space="preserve"> </w:t>
      </w:r>
      <w:r>
        <w:t xml:space="preserve">(NR) </w:t>
      </w:r>
    </w:p>
    <w:p w:rsidR="0073194A" w:rsidRDefault="001B6976">
      <w:pPr>
        <w:spacing w:after="76" w:line="259" w:lineRule="auto"/>
        <w:ind w:left="54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Art.2º</w:t>
      </w:r>
      <w:r>
        <w:t xml:space="preserve"> Ficam acrescidos à lei nº 1.011, de 1991, os seguintes </w:t>
      </w:r>
      <w:proofErr w:type="spellStart"/>
      <w:r>
        <w:t>arts</w:t>
      </w:r>
      <w:proofErr w:type="spellEnd"/>
      <w:r>
        <w:t xml:space="preserve">. 9º-A, 9º-B, </w:t>
      </w:r>
      <w:proofErr w:type="gramStart"/>
      <w:r>
        <w:t>9º-C, e 9º-D</w:t>
      </w:r>
      <w:proofErr w:type="gramEnd"/>
      <w:r>
        <w:t xml:space="preserve">: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lastRenderedPageBreak/>
        <w:t>Art.9º-A</w:t>
      </w:r>
      <w:r>
        <w:t xml:space="preserve">Descumpridas suas deliberações, o CEDCA representará ao Ministério Público Estadual para as providências cabíveis e aos demais órgãos legitimados no art.210 da Lei nº 8.069/90.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9B</w:t>
      </w:r>
      <w:r>
        <w:t xml:space="preserve"> Cabe à administração pública estadual fornecer recursos humanos e es</w:t>
      </w:r>
      <w:r>
        <w:t xml:space="preserve">trutura técnica, administrativa e institucional ao adequado e ininterrupto funcionamento do CEDCA, devendo para tanto instituir dotação orçamentária específica sem ônus para o Fundo dos Direitos da Criança e do Adolescente. </w:t>
      </w:r>
    </w:p>
    <w:p w:rsidR="0073194A" w:rsidRDefault="001B6976">
      <w:pPr>
        <w:ind w:left="-5" w:right="0"/>
      </w:pPr>
      <w:r>
        <w:rPr>
          <w:b/>
        </w:rPr>
        <w:t>§ 1º</w:t>
      </w:r>
      <w:r>
        <w:t xml:space="preserve"> - A dotação orçamentária a</w:t>
      </w:r>
      <w:r>
        <w:t xml:space="preserve"> que se refere o caput deste artigo deverá contemplar os recursos necessários ao custeio das atividades desempenhadas pelo CEDCA, inclusive para as despesas com formação continuada de seus membros conselheiros;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§ 2º</w:t>
      </w:r>
      <w:r>
        <w:t xml:space="preserve"> - O CEDCA </w:t>
      </w:r>
      <w:r>
        <w:t xml:space="preserve">deverá contar com espaço físico adequado para o seu funcionamento, cuja localização será amplamente divulgada, devendo ser dotado de todos os recursos necessários ao seu regular funcionamento.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9º-C</w:t>
      </w:r>
      <w:r>
        <w:t xml:space="preserve"> Os atos deliberativos do CEDCA deverão ser publica</w:t>
      </w:r>
      <w:r>
        <w:t xml:space="preserve">dos no Diário Oficial do Estado e na imprensa estadual, seguindo as mesmas regras para publicação dos demais atos do Poder Executivo.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 xml:space="preserve">Parágrafo único. </w:t>
      </w:r>
      <w:r>
        <w:t xml:space="preserve"> A aludida publicação deverá ocorrer na primeira oportunidade subsequente à reunião do CEDCA.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 xml:space="preserve">Art. </w:t>
      </w:r>
      <w:r>
        <w:rPr>
          <w:b/>
        </w:rPr>
        <w:t>9º-C</w:t>
      </w:r>
      <w:r>
        <w:t xml:space="preserve"> De acordo com as normas oriundas do CONANDA, não deverão compor o CEDCA:  </w:t>
      </w:r>
    </w:p>
    <w:p w:rsidR="0073194A" w:rsidRDefault="001B6976">
      <w:pPr>
        <w:numPr>
          <w:ilvl w:val="0"/>
          <w:numId w:val="5"/>
        </w:numPr>
        <w:ind w:right="0" w:hanging="295"/>
      </w:pPr>
      <w:r>
        <w:t xml:space="preserve">– Representantes de conselhos de políticas públicas; </w:t>
      </w:r>
    </w:p>
    <w:p w:rsidR="0073194A" w:rsidRDefault="001B6976">
      <w:pPr>
        <w:numPr>
          <w:ilvl w:val="0"/>
          <w:numId w:val="5"/>
        </w:numPr>
        <w:ind w:right="0" w:hanging="295"/>
      </w:pPr>
      <w:r>
        <w:t xml:space="preserve">- Representantes de órgãos de outra esfera governamental salvo se universidades públicas; </w:t>
      </w:r>
    </w:p>
    <w:p w:rsidR="0073194A" w:rsidRDefault="001B6976">
      <w:pPr>
        <w:numPr>
          <w:ilvl w:val="0"/>
          <w:numId w:val="5"/>
        </w:numPr>
        <w:ind w:right="0" w:hanging="295"/>
      </w:pPr>
      <w:r>
        <w:t>- Representantes da sociedade c</w:t>
      </w:r>
      <w:r>
        <w:t xml:space="preserve">ivil organizada que exerçam cargo ou função comissionado de órgão </w:t>
      </w:r>
      <w:proofErr w:type="spellStart"/>
      <w:proofErr w:type="gramStart"/>
      <w:r>
        <w:t>governamental;e</w:t>
      </w:r>
      <w:proofErr w:type="spellEnd"/>
      <w:proofErr w:type="gramEnd"/>
      <w:r>
        <w:t xml:space="preserve"> </w:t>
      </w:r>
    </w:p>
    <w:p w:rsidR="0073194A" w:rsidRDefault="001B6976">
      <w:pPr>
        <w:numPr>
          <w:ilvl w:val="0"/>
          <w:numId w:val="5"/>
        </w:numPr>
        <w:ind w:right="0" w:hanging="295"/>
      </w:pPr>
      <w:r>
        <w:t xml:space="preserve">– Conselheiros Tutelares; </w:t>
      </w:r>
    </w:p>
    <w:p w:rsidR="0073194A" w:rsidRDefault="001B6976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 xml:space="preserve">Parágrafo </w:t>
      </w:r>
      <w:proofErr w:type="gramStart"/>
      <w:r>
        <w:rPr>
          <w:b/>
        </w:rPr>
        <w:t>único</w:t>
      </w:r>
      <w:r>
        <w:t xml:space="preserve">  Não</w:t>
      </w:r>
      <w:proofErr w:type="gramEnd"/>
      <w:r>
        <w:t xml:space="preserve"> deverão compor o CEDCA, na forma deste artigo, autoridade judiciária, legislativa, representante do Ministério Público e da</w:t>
      </w:r>
      <w:r>
        <w:t xml:space="preserve"> Defensoria Pública Estadual.” (NR)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3</w:t>
      </w:r>
      <w:proofErr w:type="gramStart"/>
      <w:r>
        <w:rPr>
          <w:b/>
        </w:rPr>
        <w:t>º</w:t>
      </w:r>
      <w:r>
        <w:t xml:space="preserve">  Esta</w:t>
      </w:r>
      <w:proofErr w:type="gramEnd"/>
      <w:r>
        <w:t xml:space="preserve"> lei entrará em vigor na data de sua publicação. </w:t>
      </w:r>
    </w:p>
    <w:p w:rsidR="0073194A" w:rsidRDefault="001B6976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rPr>
          <w:b/>
        </w:rPr>
        <w:t>Art. 4</w:t>
      </w:r>
      <w:proofErr w:type="gramStart"/>
      <w:r>
        <w:rPr>
          <w:b/>
        </w:rPr>
        <w:t>º</w:t>
      </w:r>
      <w:r>
        <w:t xml:space="preserve">  Fica</w:t>
      </w:r>
      <w:proofErr w:type="gramEnd"/>
      <w:r>
        <w:t xml:space="preserve"> revogado o art. 10, da Lei n. 1.011, de 1991. </w:t>
      </w:r>
    </w:p>
    <w:p w:rsidR="0073194A" w:rsidRDefault="001B6976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73194A" w:rsidRDefault="001B6976">
      <w:pPr>
        <w:ind w:left="-5" w:right="0"/>
      </w:pPr>
      <w:r>
        <w:lastRenderedPageBreak/>
        <w:t xml:space="preserve">Rio Branco – Acre, 22 de </w:t>
      </w:r>
      <w:proofErr w:type="gramStart"/>
      <w:r>
        <w:t>julho  de</w:t>
      </w:r>
      <w:proofErr w:type="gramEnd"/>
      <w:r>
        <w:t xml:space="preserve"> 2015, 127º da República, 113º do Tratado de Petrópolis</w:t>
      </w:r>
      <w:r>
        <w:t xml:space="preserve"> e 54º do Estado do Acre. </w:t>
      </w:r>
    </w:p>
    <w:p w:rsidR="0073194A" w:rsidRDefault="001B6976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73194A" w:rsidRDefault="001B697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73194A" w:rsidRDefault="001B6976">
      <w:pPr>
        <w:spacing w:after="117" w:line="259" w:lineRule="auto"/>
        <w:ind w:left="10" w:right="6"/>
        <w:jc w:val="center"/>
      </w:pPr>
      <w:r>
        <w:rPr>
          <w:b/>
        </w:rPr>
        <w:t xml:space="preserve">Tião Viana </w:t>
      </w:r>
    </w:p>
    <w:p w:rsidR="0073194A" w:rsidRDefault="001B6976">
      <w:pPr>
        <w:spacing w:after="111" w:line="259" w:lineRule="auto"/>
        <w:ind w:left="0" w:right="8" w:firstLine="0"/>
        <w:jc w:val="center"/>
      </w:pPr>
      <w:r>
        <w:t>Governador do Estado do Acre</w:t>
      </w:r>
      <w:r>
        <w:rPr>
          <w:rFonts w:ascii="Times New Roman" w:eastAsia="Times New Roman" w:hAnsi="Times New Roman" w:cs="Times New Roman"/>
        </w:rPr>
        <w:t xml:space="preserve"> </w:t>
      </w:r>
    </w:p>
    <w:p w:rsidR="0073194A" w:rsidRDefault="001B697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3194A">
      <w:pgSz w:w="11906" w:h="16838"/>
      <w:pgMar w:top="1425" w:right="1695" w:bottom="142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C4459"/>
    <w:multiLevelType w:val="hybridMultilevel"/>
    <w:tmpl w:val="AF306030"/>
    <w:lvl w:ilvl="0" w:tplc="A7FE65D4">
      <w:start w:val="1"/>
      <w:numFmt w:val="upperRoman"/>
      <w:lvlText w:val="%1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0F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615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E58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E0E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E5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09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808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E0F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B15148"/>
    <w:multiLevelType w:val="hybridMultilevel"/>
    <w:tmpl w:val="DDA0C8D0"/>
    <w:lvl w:ilvl="0" w:tplc="5EB8574A">
      <w:start w:val="1"/>
      <w:numFmt w:val="upperRoman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A0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CB6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2B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23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2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0D6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6BD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32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2072AC"/>
    <w:multiLevelType w:val="hybridMultilevel"/>
    <w:tmpl w:val="14EC1B72"/>
    <w:lvl w:ilvl="0" w:tplc="26B67654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857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43E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078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C8A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A28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2F8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E4C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8A9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D828F2"/>
    <w:multiLevelType w:val="hybridMultilevel"/>
    <w:tmpl w:val="F9828830"/>
    <w:lvl w:ilvl="0" w:tplc="0DA4D13C">
      <w:start w:val="1"/>
      <w:numFmt w:val="upperRoman"/>
      <w:lvlText w:val="%1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AF6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8A0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E99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85C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97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02E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44F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A04250"/>
    <w:multiLevelType w:val="hybridMultilevel"/>
    <w:tmpl w:val="69821270"/>
    <w:lvl w:ilvl="0" w:tplc="A642B616">
      <w:start w:val="1"/>
      <w:numFmt w:val="lowerLetter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1A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C5F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A85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849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05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A8A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AE3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E2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A"/>
    <w:rsid w:val="001B6976"/>
    <w:rsid w:val="0073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D8996-F874-48EE-92BB-B6B8138A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9" w:line="250" w:lineRule="auto"/>
      <w:ind w:left="4145" w:right="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DPSE-0005</dc:creator>
  <cp:keywords/>
  <cp:lastModifiedBy>railton</cp:lastModifiedBy>
  <cp:revision>2</cp:revision>
  <dcterms:created xsi:type="dcterms:W3CDTF">2025-09-23T14:04:00Z</dcterms:created>
  <dcterms:modified xsi:type="dcterms:W3CDTF">2025-09-23T14:04:00Z</dcterms:modified>
</cp:coreProperties>
</file>